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before="240" w:lineRule="auto"/>
        <w:ind w:right="-4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12</w:t>
      </w:r>
      <w:r w:rsidDel="00000000" w:rsidR="00000000" w:rsidRPr="00000000">
        <w:rPr>
          <w:rFonts w:ascii="Times New Roman" w:cs="Times New Roman" w:eastAsia="Times New Roman" w:hAnsi="Times New Roman"/>
          <w:color w:val="000000"/>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10</w:t>
      </w:r>
      <w:r w:rsidDel="00000000" w:rsidR="00000000" w:rsidRPr="00000000">
        <w:rPr>
          <w:rFonts w:ascii="Times New Roman" w:cs="Times New Roman" w:eastAsia="Times New Roman" w:hAnsi="Times New Roman"/>
          <w:color w:val="000000"/>
          <w:sz w:val="24"/>
          <w:szCs w:val="24"/>
          <w:highlight w:val="white"/>
          <w:rtl w:val="0"/>
        </w:rPr>
        <w:t xml:space="preserve">.2026                                                                                                                         м. Київ</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40" w:before="240" w:line="240" w:lineRule="auto"/>
        <w:ind w:firstLine="540"/>
        <w:jc w:val="center"/>
        <w:rPr>
          <w:rFonts w:ascii="Times New Roman" w:cs="Times New Roman" w:eastAsia="Times New Roman" w:hAnsi="Times New Roman"/>
          <w:b w:val="1"/>
          <w:bCs w:val="1"/>
          <w:color w:val="000000"/>
          <w:sz w:val="24"/>
          <w:szCs w:val="24"/>
        </w:rPr>
      </w:pPr>
      <w:bookmarkStart w:colFirst="0" w:colLast="0" w:name="_heading=h.tst59rabcshh" w:id="0"/>
      <w:bookmarkEnd w:id="0"/>
      <w:r w:rsidDel="00000000" w:rsidR="00000000" w:rsidRPr="00000000">
        <w:rPr>
          <w:rFonts w:ascii="Times New Roman" w:cs="Times New Roman" w:eastAsia="Times New Roman" w:hAnsi="Times New Roman"/>
          <w:b w:val="1"/>
          <w:bCs w:val="1"/>
          <w:color w:val="000000"/>
          <w:sz w:val="24"/>
          <w:szCs w:val="24"/>
          <w:highlight w:val="white"/>
          <w:rtl w:val="0"/>
        </w:rPr>
        <w:t xml:space="preserve">Запрошення до участі в тендері </w:t>
      </w:r>
      <w:r w:rsidDel="00000000" w:rsidR="00000000" w:rsidRPr="00000000">
        <w:rPr>
          <w:rFonts w:ascii="Times New Roman" w:cs="Times New Roman" w:eastAsia="Times New Roman" w:hAnsi="Times New Roman"/>
          <w:b w:val="1"/>
          <w:bCs w:val="1"/>
          <w:color w:val="131313"/>
          <w:sz w:val="24"/>
          <w:szCs w:val="24"/>
          <w:highlight w:val="white"/>
          <w:rtl w:val="0"/>
        </w:rPr>
        <w:t xml:space="preserve">щодо </w:t>
      </w:r>
      <w:r w:rsidDel="00000000" w:rsidR="00000000" w:rsidRPr="00000000">
        <w:rPr>
          <w:rFonts w:ascii="Times New Roman" w:cs="Times New Roman" w:eastAsia="Times New Roman" w:hAnsi="Times New Roman"/>
          <w:b w:val="1"/>
          <w:bCs w:val="1"/>
          <w:color w:val="131313"/>
          <w:sz w:val="24"/>
          <w:szCs w:val="24"/>
          <w:rtl w:val="0"/>
        </w:rPr>
        <w:t xml:space="preserve">закупівлі устаткування для облаштування місця тимчасового перебування внутрішньо переміщених осіб у місті Дніпро</w:t>
      </w:r>
      <w:r w:rsidDel="00000000" w:rsidR="00000000" w:rsidRPr="00000000">
        <w:rPr>
          <w:rFonts w:ascii="Times New Roman" w:cs="Times New Roman" w:eastAsia="Times New Roman" w:hAnsi="Times New Roman"/>
          <w:b w:val="1"/>
          <w:bCs w:val="1"/>
          <w:color w:val="131313"/>
          <w:sz w:val="24"/>
          <w:szCs w:val="24"/>
          <w:highlight w:val="white"/>
          <w:rtl w:val="0"/>
        </w:rPr>
        <w:t xml:space="preserve">, </w:t>
      </w:r>
      <w:r w:rsidDel="00000000" w:rsidR="00000000" w:rsidRPr="00000000">
        <w:rPr>
          <w:rFonts w:ascii="Times New Roman" w:cs="Times New Roman" w:eastAsia="Times New Roman" w:hAnsi="Times New Roman"/>
          <w:b w:val="1"/>
          <w:bCs w:val="1"/>
          <w:color w:val="131313"/>
          <w:sz w:val="24"/>
          <w:szCs w:val="24"/>
          <w:rtl w:val="0"/>
        </w:rPr>
        <w:t xml:space="preserve">за проєктом </w:t>
      </w:r>
      <w:r w:rsidDel="00000000" w:rsidR="00000000" w:rsidRPr="00000000">
        <w:rPr>
          <w:rFonts w:ascii="Times New Roman" w:cs="Times New Roman" w:eastAsia="Times New Roman" w:hAnsi="Times New Roman"/>
          <w:b w:val="1"/>
          <w:bCs w:val="1"/>
          <w:color w:val="000000"/>
          <w:sz w:val="24"/>
          <w:szCs w:val="24"/>
          <w:rtl w:val="0"/>
        </w:rPr>
        <w:t xml:space="preserve">“Посилення механізмів захисту постраждалого внаслідок конфлікту населення” , який реалізується в рамках договору про реалізацію проєкту UKR2624, укладеного 17.08.2026 року з Норвезькою Радою у справах біженців (NRC) за фінансування Норвегії</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40" w:line="240" w:lineRule="auto"/>
        <w:jc w:val="center"/>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240" w:line="240" w:lineRule="auto"/>
        <w:jc w:val="center"/>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Розділ 1: Інструкції для учасників тендеру</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1.1. Вступ</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rPr>
      </w:pPr>
      <w:bookmarkStart w:colFirst="0" w:colLast="0" w:name="_heading=h.d3nh7m3lkao2" w:id="1"/>
      <w:bookmarkEnd w:id="1"/>
      <w:r w:rsidDel="00000000" w:rsidR="00000000" w:rsidRPr="00000000">
        <w:rPr>
          <w:rFonts w:ascii="Times New Roman" w:cs="Times New Roman" w:eastAsia="Times New Roman" w:hAnsi="Times New Roman"/>
          <w:color w:val="000000"/>
          <w:sz w:val="24"/>
          <w:szCs w:val="24"/>
          <w:rtl w:val="0"/>
        </w:rPr>
        <w:t xml:space="preserve">Благодійна організація «Благодійний Фонд «СХІД-СОС» оголошує тендер </w:t>
      </w:r>
      <w:r w:rsidDel="00000000" w:rsidR="00000000" w:rsidRPr="00000000">
        <w:rPr>
          <w:rFonts w:ascii="Times New Roman" w:cs="Times New Roman" w:eastAsia="Times New Roman" w:hAnsi="Times New Roman"/>
          <w:color w:val="131313"/>
          <w:sz w:val="24"/>
          <w:szCs w:val="24"/>
          <w:rtl w:val="0"/>
        </w:rPr>
        <w:t xml:space="preserve">щодо закупівлі устаткування для облаштування місць тимчасового перебування внутрішньо переміщених осіб у місті Дніпро за проєктом “Посилення механізмів захисту постраждалого внаслідок конфлікту населення” , який реалізується в рамках договору про реалізацію проєкту UKR2624, укладеного 17.08.2026 року з Норвезькою Радою у справах біженців (NRC) за фінансування Норвегії.</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240" w:before="240" w:line="240" w:lineRule="auto"/>
        <w:ind w:firstLine="540"/>
        <w:jc w:val="both"/>
        <w:rPr>
          <w:rFonts w:ascii="Times New Roman" w:cs="Times New Roman" w:eastAsia="Times New Roman" w:hAnsi="Times New Roman"/>
          <w:color w:val="131313"/>
          <w:sz w:val="24"/>
          <w:szCs w:val="24"/>
        </w:rPr>
      </w:pPr>
      <w:r w:rsidDel="00000000" w:rsidR="00000000" w:rsidRPr="00000000">
        <w:rPr>
          <w:rFonts w:ascii="Times New Roman" w:cs="Times New Roman" w:eastAsia="Times New Roman" w:hAnsi="Times New Roman"/>
          <w:color w:val="131313"/>
          <w:sz w:val="24"/>
          <w:szCs w:val="24"/>
          <w:rtl w:val="0"/>
        </w:rPr>
        <w:t xml:space="preserve">Товари потрібно доставити, розвантажити та занести безпосередньо до місця призначення у м. Дніпро.</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240" w:before="240" w:line="240" w:lineRule="auto"/>
        <w:ind w:firstLine="540"/>
        <w:jc w:val="both"/>
        <w:rPr>
          <w:rFonts w:ascii="Times New Roman" w:cs="Times New Roman" w:eastAsia="Times New Roman" w:hAnsi="Times New Roman"/>
          <w:color w:val="1f1f1f"/>
          <w:sz w:val="24"/>
          <w:szCs w:val="24"/>
          <w:highlight w:val="white"/>
        </w:rPr>
      </w:pPr>
      <w:r w:rsidDel="00000000" w:rsidR="00000000" w:rsidRPr="00000000">
        <w:rPr>
          <w:rFonts w:ascii="Times New Roman" w:cs="Times New Roman" w:eastAsia="Times New Roman" w:hAnsi="Times New Roman"/>
          <w:color w:val="1f1f1f"/>
          <w:sz w:val="24"/>
          <w:szCs w:val="24"/>
          <w:highlight w:val="white"/>
          <w:rtl w:val="0"/>
        </w:rPr>
        <w:t xml:space="preserve">Закупівля устаткування здійснюється в рамках проєкту</w:t>
      </w:r>
      <w:r w:rsidDel="00000000" w:rsidR="00000000" w:rsidRPr="00000000">
        <w:rPr>
          <w:rFonts w:ascii="Times New Roman" w:cs="Times New Roman" w:eastAsia="Times New Roman" w:hAnsi="Times New Roman"/>
          <w:color w:val="131313"/>
          <w:sz w:val="24"/>
          <w:szCs w:val="24"/>
          <w:rtl w:val="0"/>
        </w:rPr>
        <w:t xml:space="preserve"> “Посилення механізмів захисту постраждалого внаслідок конфлікту населення” , який реалізується в рамках договору про реалізацію проєкту UKR2624, укладеного 17.08.2026 року з Норвезькою Радою у справах біженців (NRC) за фінансування Норвегії</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b w:val="1"/>
          <w:bCs w:val="1"/>
          <w:color w:val="000000"/>
          <w:sz w:val="24"/>
          <w:szCs w:val="24"/>
          <w:highlight w:val="white"/>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highlight w:val="white"/>
          <w:rtl w:val="0"/>
        </w:rPr>
        <w:t xml:space="preserve">Термін виконання замовлення</w:t>
      </w:r>
      <w:r w:rsidDel="00000000" w:rsidR="00000000" w:rsidRPr="00000000">
        <w:rPr>
          <w:rFonts w:ascii="Times New Roman" w:cs="Times New Roman" w:eastAsia="Times New Roman" w:hAnsi="Times New Roman"/>
          <w:b w:val="1"/>
          <w:bCs w:val="1"/>
          <w:color w:val="000000"/>
          <w:sz w:val="24"/>
          <w:szCs w:val="24"/>
          <w:rtl w:val="0"/>
        </w:rPr>
        <w:t xml:space="preserve">: до 15 листопада 2026 року.</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Оплата послуг: безготівкова оплата.</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Перелік устаткування зазначений у </w:t>
      </w:r>
      <w:r w:rsidDel="00000000" w:rsidR="00000000" w:rsidRPr="00000000">
        <w:rPr>
          <w:rFonts w:ascii="Times New Roman" w:cs="Times New Roman" w:eastAsia="Times New Roman" w:hAnsi="Times New Roman"/>
          <w:b w:val="1"/>
          <w:bCs w:val="1"/>
          <w:color w:val="000000"/>
          <w:sz w:val="24"/>
          <w:szCs w:val="24"/>
          <w:rtl w:val="0"/>
        </w:rPr>
        <w:t xml:space="preserve">Розділі 2.</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1.2. Кваліфікаційні вимоги</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копія виписки з Єдиного державного реєстру юридичних осіб, фізичних осіб-підприємців та громадських формувань (або витяг) (актуальні на дату подання пропозиції);</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копія витягу (виписки) про сплату єдиного податку із зазначенням видів діяльності (у випадку, якщо приватний підприємець – платник єдиного податку) або витяг з реєстру платників податку на додану вартість;</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1.3. Подача тендерних пропозицій</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b w:val="1"/>
          <w:bCs w:val="1"/>
          <w:color w:val="131313"/>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Пропозиції слід надати в одному екземплярі до 18:00 </w:t>
      </w:r>
      <w:r w:rsidDel="00000000" w:rsidR="00000000" w:rsidRPr="00000000">
        <w:rPr>
          <w:rFonts w:ascii="Times New Roman" w:cs="Times New Roman" w:eastAsia="Times New Roman" w:hAnsi="Times New Roman"/>
          <w:b w:val="1"/>
          <w:bCs w:val="1"/>
          <w:sz w:val="24"/>
          <w:szCs w:val="24"/>
          <w:highlight w:val="white"/>
          <w:rtl w:val="0"/>
        </w:rPr>
        <w:t xml:space="preserve">18</w:t>
      </w:r>
      <w:r w:rsidDel="00000000" w:rsidR="00000000" w:rsidRPr="00000000">
        <w:rPr>
          <w:rFonts w:ascii="Times New Roman" w:cs="Times New Roman" w:eastAsia="Times New Roman" w:hAnsi="Times New Roman"/>
          <w:b w:val="1"/>
          <w:bCs w:val="1"/>
          <w:color w:val="000000"/>
          <w:sz w:val="24"/>
          <w:szCs w:val="24"/>
          <w:highlight w:val="white"/>
          <w:rtl w:val="0"/>
        </w:rPr>
        <w:t xml:space="preserve"> жовтня 2026 року </w:t>
      </w:r>
      <w:r w:rsidDel="00000000" w:rsidR="00000000" w:rsidRPr="00000000">
        <w:rPr>
          <w:rFonts w:ascii="Times New Roman" w:cs="Times New Roman" w:eastAsia="Times New Roman" w:hAnsi="Times New Roman"/>
          <w:b w:val="1"/>
          <w:bCs w:val="1"/>
          <w:color w:val="000000"/>
          <w:sz w:val="24"/>
          <w:szCs w:val="24"/>
          <w:rtl w:val="0"/>
        </w:rPr>
        <w:t xml:space="preserve">Новою поштою</w:t>
      </w:r>
      <w:r w:rsidDel="00000000" w:rsidR="00000000" w:rsidRPr="00000000">
        <w:rPr>
          <w:rFonts w:ascii="Times New Roman" w:cs="Times New Roman" w:eastAsia="Times New Roman" w:hAnsi="Times New Roman"/>
          <w:color w:val="000000"/>
          <w:sz w:val="24"/>
          <w:szCs w:val="24"/>
          <w:rtl w:val="0"/>
        </w:rPr>
        <w:t xml:space="preserve"> в запечатаному конверті </w:t>
      </w:r>
      <w:r w:rsidDel="00000000" w:rsidR="00000000" w:rsidRPr="00000000">
        <w:rPr>
          <w:rFonts w:ascii="Times New Roman" w:cs="Times New Roman" w:eastAsia="Times New Roman" w:hAnsi="Times New Roman"/>
          <w:color w:val="000000"/>
          <w:sz w:val="24"/>
          <w:szCs w:val="24"/>
          <w:u w:val="single"/>
          <w:rtl w:val="0"/>
        </w:rPr>
        <w:t xml:space="preserve">з обов'язковим маркуванням</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«Тендер </w:t>
      </w:r>
      <w:r w:rsidDel="00000000" w:rsidR="00000000" w:rsidRPr="00000000">
        <w:rPr>
          <w:rFonts w:ascii="Times New Roman" w:cs="Times New Roman" w:eastAsia="Times New Roman" w:hAnsi="Times New Roman"/>
          <w:b w:val="1"/>
          <w:bCs w:val="1"/>
          <w:color w:val="131313"/>
          <w:sz w:val="24"/>
          <w:szCs w:val="24"/>
          <w:rtl w:val="0"/>
        </w:rPr>
        <w:t xml:space="preserve">щодо закупівлі устаткування для облаштування місць тимчасового перебування внутрішньо переміщених осіб у місті Дніпро»</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До вказаного часу пропозиція повинна бути на відділенні Нової Пошти.</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У розділі «Відправник» слід вказати найменування учасника тендера, адресу та контактні телефони. У графі «Одержувач» вказати адресу: БО «БФ «Схід-СОС», м. Київ, Нова Пошта №57, </w:t>
      </w:r>
      <w:r w:rsidDel="00000000" w:rsidR="00000000" w:rsidRPr="00000000">
        <w:rPr>
          <w:rFonts w:ascii="Times New Roman" w:cs="Times New Roman" w:eastAsia="Times New Roman" w:hAnsi="Times New Roman"/>
          <w:color w:val="000000"/>
          <w:sz w:val="24"/>
          <w:szCs w:val="24"/>
          <w:highlight w:val="white"/>
          <w:rtl w:val="0"/>
        </w:rPr>
        <w:t xml:space="preserve">тел. </w:t>
      </w:r>
      <w:r w:rsidDel="00000000" w:rsidR="00000000" w:rsidRPr="00000000">
        <w:rPr>
          <w:rFonts w:ascii="Times New Roman" w:cs="Times New Roman" w:eastAsia="Times New Roman" w:hAnsi="Times New Roman"/>
          <w:sz w:val="24"/>
          <w:szCs w:val="24"/>
          <w:highlight w:val="white"/>
          <w:rtl w:val="0"/>
        </w:rPr>
        <w:t xml:space="preserve">+38</w:t>
      </w:r>
      <w:r w:rsidDel="00000000" w:rsidR="00000000" w:rsidRPr="00000000">
        <w:rPr>
          <w:rFonts w:ascii="Times New Roman" w:cs="Times New Roman" w:eastAsia="Times New Roman" w:hAnsi="Times New Roman"/>
          <w:sz w:val="24"/>
          <w:szCs w:val="24"/>
          <w:rtl w:val="0"/>
        </w:rPr>
        <w:t xml:space="preserve">0992018255</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rtl w:val="0"/>
        </w:rPr>
        <w:t xml:space="preserve">Відповіді на питання про подачу тендерної пропозиції можна отримати, написавши на електронну адресу: </w:t>
      </w:r>
      <w:r w:rsidDel="00000000" w:rsidR="00000000" w:rsidRPr="00000000">
        <w:rPr>
          <w:rFonts w:ascii="Times New Roman" w:cs="Times New Roman" w:eastAsia="Times New Roman" w:hAnsi="Times New Roman"/>
          <w:color w:val="0000ff"/>
          <w:sz w:val="24"/>
          <w:szCs w:val="24"/>
          <w:u w:val="single"/>
          <w:rtl w:val="0"/>
        </w:rPr>
        <w:t xml:space="preserve">purchases@east-sos.org</w:t>
      </w:r>
      <w:r w:rsidDel="00000000" w:rsidR="00000000" w:rsidRPr="00000000">
        <w:rPr>
          <w:rFonts w:ascii="Times New Roman" w:cs="Times New Roman" w:eastAsia="Times New Roman" w:hAnsi="Times New Roman"/>
          <w:color w:val="000000"/>
          <w:sz w:val="24"/>
          <w:szCs w:val="24"/>
          <w:rtl w:val="0"/>
        </w:rPr>
        <w:t xml:space="preserve"> або зателефонувавши за номером</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color w:val="000000"/>
          <w:sz w:val="24"/>
          <w:szCs w:val="24"/>
          <w:highlight w:val="white"/>
          <w:rtl w:val="0"/>
        </w:rPr>
        <w:t xml:space="preserve">+38</w:t>
      </w:r>
      <w:r w:rsidDel="00000000" w:rsidR="00000000" w:rsidRPr="00000000">
        <w:rPr>
          <w:rFonts w:ascii="Times New Roman" w:cs="Times New Roman" w:eastAsia="Times New Roman" w:hAnsi="Times New Roman"/>
          <w:color w:val="000000"/>
          <w:sz w:val="24"/>
          <w:szCs w:val="24"/>
          <w:rtl w:val="0"/>
        </w:rPr>
        <w:t xml:space="preserve">0992018255</w:t>
      </w:r>
      <w:r w:rsidDel="00000000" w:rsidR="00000000" w:rsidRPr="00000000">
        <w:rPr>
          <w:rFonts w:ascii="Times New Roman" w:cs="Times New Roman" w:eastAsia="Times New Roman" w:hAnsi="Times New Roman"/>
          <w:color w:val="000000"/>
          <w:sz w:val="24"/>
          <w:szCs w:val="24"/>
          <w:highlight w:val="white"/>
          <w:rtl w:val="0"/>
        </w:rPr>
        <w:t xml:space="preserve">.</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Для участі у тендері необхідно надати:</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1. Необхідні копії документів відповідно до кваліфікаційних вимог;</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2. Заповнена форма  декларація відповідності учасника;</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3. Додаток № 1.1: Комерційна  пропозиція;</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4.</w:t>
      </w:r>
      <w:r w:rsidDel="00000000" w:rsidR="00000000" w:rsidRPr="00000000">
        <w:rPr>
          <w:color w:val="000000"/>
          <w:highlight w:val="white"/>
          <w:rtl w:val="0"/>
        </w:rPr>
        <w:t xml:space="preserve"> </w:t>
      </w:r>
      <w:r w:rsidDel="00000000" w:rsidR="00000000" w:rsidRPr="00000000">
        <w:rPr>
          <w:rFonts w:ascii="Times New Roman" w:cs="Times New Roman" w:eastAsia="Times New Roman" w:hAnsi="Times New Roman"/>
          <w:color w:val="000000"/>
          <w:sz w:val="24"/>
          <w:szCs w:val="24"/>
          <w:highlight w:val="white"/>
          <w:rtl w:val="0"/>
        </w:rPr>
        <w:t xml:space="preserve">Додаток № 1.2. КОШТОРИС </w:t>
      </w:r>
      <w:r w:rsidDel="00000000" w:rsidR="00000000" w:rsidRPr="00000000">
        <w:rPr>
          <w:rFonts w:ascii="Times New Roman" w:cs="Times New Roman" w:eastAsia="Times New Roman" w:hAnsi="Times New Roman"/>
          <w:color w:val="000000"/>
          <w:sz w:val="24"/>
          <w:szCs w:val="24"/>
          <w:rtl w:val="0"/>
        </w:rPr>
        <w:t xml:space="preserve">на закупівлю корпусних меблів; </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rPr>
      </w:pPr>
      <w:bookmarkStart w:colFirst="0" w:colLast="0" w:name="_heading=h.bcdz5gx8i5hy" w:id="2"/>
      <w:bookmarkEnd w:id="2"/>
      <w:r w:rsidDel="00000000" w:rsidR="00000000" w:rsidRPr="00000000">
        <w:rPr>
          <w:rFonts w:ascii="Times New Roman" w:cs="Times New Roman" w:eastAsia="Times New Roman" w:hAnsi="Times New Roman"/>
          <w:color w:val="000000"/>
          <w:sz w:val="24"/>
          <w:szCs w:val="24"/>
          <w:rtl w:val="0"/>
        </w:rPr>
        <w:t xml:space="preserve">5.</w:t>
      </w:r>
      <w:r w:rsidDel="00000000" w:rsidR="00000000" w:rsidRPr="00000000">
        <w:rPr>
          <w:color w:val="000000"/>
          <w:rtl w:val="0"/>
        </w:rPr>
        <w:t xml:space="preserve"> </w:t>
      </w:r>
      <w:r w:rsidDel="00000000" w:rsidR="00000000" w:rsidRPr="00000000">
        <w:rPr>
          <w:rFonts w:ascii="Times New Roman" w:cs="Times New Roman" w:eastAsia="Times New Roman" w:hAnsi="Times New Roman"/>
          <w:color w:val="000000"/>
          <w:sz w:val="24"/>
          <w:szCs w:val="24"/>
          <w:rtl w:val="0"/>
        </w:rPr>
        <w:t xml:space="preserve">Додаток № 1.3. КОШТОРИС на закупівлю медичних меблів; </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240" w:before="240" w:line="240" w:lineRule="auto"/>
        <w:ind w:firstLine="540"/>
        <w:rPr>
          <w:rFonts w:ascii="Times New Roman" w:cs="Times New Roman" w:eastAsia="Times New Roman" w:hAnsi="Times New Roman"/>
          <w:color w:val="000000"/>
          <w:sz w:val="24"/>
          <w:szCs w:val="24"/>
        </w:rPr>
      </w:pPr>
      <w:bookmarkStart w:colFirst="0" w:colLast="0" w:name="_heading=h.wpgxwi4ld34h" w:id="3"/>
      <w:bookmarkEnd w:id="3"/>
      <w:r w:rsidDel="00000000" w:rsidR="00000000" w:rsidRPr="00000000">
        <w:rPr>
          <w:rFonts w:ascii="Times New Roman" w:cs="Times New Roman" w:eastAsia="Times New Roman" w:hAnsi="Times New Roman"/>
          <w:color w:val="000000"/>
          <w:sz w:val="24"/>
          <w:szCs w:val="24"/>
          <w:rtl w:val="0"/>
        </w:rPr>
        <w:t xml:space="preserve">6. Додаток № 1.4. КОШТОРИС на закупівлю матраців;</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240" w:before="240" w:line="240" w:lineRule="auto"/>
        <w:ind w:firstLine="540"/>
        <w:rPr>
          <w:rFonts w:ascii="Times New Roman" w:cs="Times New Roman" w:eastAsia="Times New Roman" w:hAnsi="Times New Roman"/>
          <w:sz w:val="24"/>
          <w:szCs w:val="24"/>
        </w:rPr>
      </w:pPr>
      <w:bookmarkStart w:colFirst="0" w:colLast="0" w:name="_heading=h.9uha8s5nj39a" w:id="4"/>
      <w:bookmarkEnd w:id="4"/>
      <w:r w:rsidDel="00000000" w:rsidR="00000000" w:rsidRPr="00000000">
        <w:rPr>
          <w:rFonts w:ascii="Times New Roman" w:cs="Times New Roman" w:eastAsia="Times New Roman" w:hAnsi="Times New Roman"/>
          <w:sz w:val="24"/>
          <w:szCs w:val="24"/>
          <w:rtl w:val="0"/>
        </w:rPr>
        <w:t xml:space="preserve">7. Лист гарантія на гарантійний строк.</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В кошторисах необхідно зазначити детальний опис запропонованих до поставки товарів, вказати їх виробника та модель з фото товару (бажано) </w:t>
      </w:r>
      <w:r w:rsidDel="00000000" w:rsidR="00000000" w:rsidRPr="00000000">
        <w:rPr>
          <w:rFonts w:ascii="Times New Roman" w:cs="Times New Roman" w:eastAsia="Times New Roman" w:hAnsi="Times New Roman"/>
          <w:color w:val="ff0000"/>
          <w:sz w:val="24"/>
          <w:szCs w:val="24"/>
          <w:highlight w:val="white"/>
          <w:rtl w:val="0"/>
        </w:rPr>
        <w:t xml:space="preserve"> </w:t>
      </w:r>
      <w:r w:rsidDel="00000000" w:rsidR="00000000" w:rsidRPr="00000000">
        <w:rPr>
          <w:rFonts w:ascii="Times New Roman" w:cs="Times New Roman" w:eastAsia="Times New Roman" w:hAnsi="Times New Roman"/>
          <w:color w:val="000000"/>
          <w:sz w:val="24"/>
          <w:szCs w:val="24"/>
          <w:highlight w:val="white"/>
          <w:rtl w:val="0"/>
        </w:rPr>
        <w:t xml:space="preserve">для чіткої  ідентифікації під час розгляду тендерних пропозицій.</w:t>
      </w:r>
      <w:r w:rsidDel="00000000" w:rsidR="00000000" w:rsidRPr="00000000">
        <w:rPr>
          <w:rFonts w:ascii="Times New Roman" w:cs="Times New Roman" w:eastAsia="Times New Roman" w:hAnsi="Times New Roman"/>
          <w:color w:val="000000"/>
          <w:highlight w:val="white"/>
          <w:rtl w:val="0"/>
        </w:rPr>
        <w:t xml:space="preserve"> </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Кошториси мають бути завірені підписом та печаткою </w:t>
      </w:r>
      <w:r w:rsidDel="00000000" w:rsidR="00000000" w:rsidRPr="00000000">
        <w:rPr>
          <w:rFonts w:ascii="Times New Roman" w:cs="Times New Roman" w:eastAsia="Times New Roman" w:hAnsi="Times New Roman"/>
          <w:b w:val="1"/>
          <w:bCs w:val="1"/>
          <w:color w:val="000000"/>
          <w:sz w:val="24"/>
          <w:szCs w:val="24"/>
          <w:rtl w:val="0"/>
        </w:rPr>
        <w:t xml:space="preserve">(за наявності)</w:t>
      </w:r>
      <w:r w:rsidDel="00000000" w:rsidR="00000000" w:rsidRPr="00000000">
        <w:rPr>
          <w:rFonts w:ascii="Times New Roman" w:cs="Times New Roman" w:eastAsia="Times New Roman" w:hAnsi="Times New Roman"/>
          <w:color w:val="000000"/>
          <w:sz w:val="24"/>
          <w:szCs w:val="24"/>
          <w:rtl w:val="0"/>
        </w:rPr>
        <w:t xml:space="preserve"> уповноваженої особи</w:t>
      </w:r>
      <w:r w:rsidDel="00000000" w:rsidR="00000000" w:rsidRPr="00000000">
        <w:rPr>
          <w:rFonts w:ascii="Times New Roman" w:cs="Times New Roman" w:eastAsia="Times New Roman" w:hAnsi="Times New Roman"/>
          <w:b w:val="1"/>
          <w:bCs w:val="1"/>
          <w:color w:val="000000"/>
          <w:sz w:val="24"/>
          <w:szCs w:val="24"/>
          <w:rtl w:val="0"/>
        </w:rPr>
        <w:t xml:space="preserve">.</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Замовник має право обрати переможця закупівлі по кожному КОШТОРИСУ окремо.</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highlight w:val="yellow"/>
        </w:rPr>
      </w:pPr>
      <w:r w:rsidDel="00000000" w:rsidR="00000000" w:rsidRPr="00000000">
        <w:rPr>
          <w:rFonts w:ascii="Times New Roman" w:cs="Times New Roman" w:eastAsia="Times New Roman" w:hAnsi="Times New Roman"/>
          <w:color w:val="000000"/>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Надіслані копії документів повинні бути чіткими, якісними та придатними для прочитання. Відповідальність за достовірність наданої інформації в своїй ціновій пропозиції несе учасник. </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240" w:before="240" w:line="240" w:lineRule="auto"/>
        <w:ind w:firstLine="53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 разі, якщо цінова пропозиція надійшла після закінчення кінцевого терміну подачі цінових пропозицій, або надана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color w:val="000000"/>
          <w:sz w:val="24"/>
          <w:szCs w:val="24"/>
          <w:rtl w:val="0"/>
        </w:rPr>
        <w:t xml:space="preserve">не розглядається</w:t>
      </w:r>
      <w:r w:rsidDel="00000000" w:rsidR="00000000" w:rsidRPr="00000000">
        <w:rPr>
          <w:rFonts w:ascii="Times New Roman" w:cs="Times New Roman" w:eastAsia="Times New Roman" w:hAnsi="Times New Roman"/>
          <w:color w:val="000000"/>
          <w:sz w:val="24"/>
          <w:szCs w:val="24"/>
          <w:rtl w:val="0"/>
        </w:rPr>
        <w:t xml:space="preserve"> тендерним комітетом.</w:t>
      </w:r>
    </w:p>
    <w:p w:rsidR="00000000" w:rsidDel="00000000" w:rsidP="00000000" w:rsidRDefault="00000000" w:rsidRPr="00000000" w14:paraId="00000025">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1.4. Оцінка тендерних пропозицій учасників</w:t>
      </w:r>
    </w:p>
    <w:p w:rsidR="00000000" w:rsidDel="00000000" w:rsidP="00000000" w:rsidRDefault="00000000" w:rsidRPr="00000000" w14:paraId="00000026">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Отримані пропозиції будуть розглянуті та проаналізовані на основі наступних критеріїв оцінки, а саме:</w:t>
      </w:r>
    </w:p>
    <w:p w:rsidR="00000000" w:rsidDel="00000000" w:rsidP="00000000" w:rsidRDefault="00000000" w:rsidRPr="00000000" w14:paraId="00000027">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Вартість пропозиції - 40%</w:t>
      </w:r>
    </w:p>
    <w:p w:rsidR="00000000" w:rsidDel="00000000" w:rsidP="00000000" w:rsidRDefault="00000000" w:rsidRPr="00000000" w14:paraId="00000028">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Відповідність технічним характеристикам, зазначеним в специфікаціях- 20%</w:t>
      </w:r>
    </w:p>
    <w:p w:rsidR="00000000" w:rsidDel="00000000" w:rsidP="00000000" w:rsidRDefault="00000000" w:rsidRPr="00000000" w14:paraId="00000029">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Строк поставки та готовність забезпечити необхідний обсяг товару - 20%</w:t>
      </w:r>
    </w:p>
    <w:p w:rsidR="00000000" w:rsidDel="00000000" w:rsidP="00000000" w:rsidRDefault="00000000" w:rsidRPr="00000000" w14:paraId="0000002A">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Досвід роботи у сфері постачання зазначеного устаткування- 20%</w:t>
      </w:r>
    </w:p>
    <w:p w:rsidR="00000000" w:rsidDel="00000000" w:rsidP="00000000" w:rsidRDefault="00000000" w:rsidRPr="00000000" w14:paraId="0000002B">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(враховуватимуться вартість устаткування, якість товару, попередній досвід роботи, гарні рекомендації).</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Тендер вважається таким, що відбувся, при наявності від</w:t>
      </w:r>
      <w:r w:rsidDel="00000000" w:rsidR="00000000" w:rsidRPr="00000000">
        <w:rPr>
          <w:rFonts w:ascii="Times New Roman" w:cs="Times New Roman" w:eastAsia="Times New Roman" w:hAnsi="Times New Roman"/>
          <w:b w:val="1"/>
          <w:bCs w:val="1"/>
          <w:color w:val="000000"/>
          <w:sz w:val="24"/>
          <w:szCs w:val="24"/>
          <w:highlight w:val="white"/>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трьох пропозицій</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1.5. Інформування учасників</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240" w:before="240" w:line="240" w:lineRule="auto"/>
        <w:ind w:firstLine="54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Замовник акцептує тендерну пропозицію, що визнана найкращою за результатами оцінки, та надсилає всім учасникам повідомлення про результати проведеного тендеру.</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240" w:before="240" w:line="240" w:lineRule="auto"/>
        <w:ind w:firstLine="540"/>
        <w:jc w:val="center"/>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Розділ 2</w:t>
      </w:r>
      <w:r w:rsidDel="00000000" w:rsidR="00000000" w:rsidRPr="00000000">
        <w:rPr>
          <w:rFonts w:ascii="Times New Roman" w:cs="Times New Roman" w:eastAsia="Times New Roman" w:hAnsi="Times New Roman"/>
          <w:b w:val="1"/>
          <w:bCs w:val="1"/>
          <w:color w:val="000000"/>
          <w:sz w:val="26"/>
          <w:szCs w:val="26"/>
          <w:u w:val="single"/>
          <w:rtl w:val="0"/>
        </w:rPr>
        <w:t xml:space="preserve">: </w:t>
      </w:r>
      <w:r w:rsidDel="00000000" w:rsidR="00000000" w:rsidRPr="00000000">
        <w:rPr>
          <w:rFonts w:ascii="Times New Roman" w:cs="Times New Roman" w:eastAsia="Times New Roman" w:hAnsi="Times New Roman"/>
          <w:b w:val="1"/>
          <w:bCs w:val="1"/>
          <w:color w:val="000000"/>
          <w:sz w:val="24"/>
          <w:szCs w:val="24"/>
          <w:u w:val="single"/>
          <w:rtl w:val="0"/>
        </w:rPr>
        <w:t xml:space="preserve">Специфікації</w:t>
      </w:r>
      <w:r w:rsidDel="00000000" w:rsidR="00000000" w:rsidRPr="00000000">
        <w:rPr>
          <w:rFonts w:ascii="Times New Roman" w:cs="Times New Roman" w:eastAsia="Times New Roman" w:hAnsi="Times New Roman"/>
          <w:b w:val="1"/>
          <w:bCs w:val="1"/>
          <w:color w:val="131313"/>
          <w:sz w:val="24"/>
          <w:szCs w:val="24"/>
          <w:u w:val="single"/>
          <w:rtl w:val="0"/>
        </w:rPr>
        <w:t xml:space="preserve"> послуг</w:t>
      </w:r>
      <w:r w:rsidDel="00000000" w:rsidR="00000000" w:rsidRPr="00000000">
        <w:rPr>
          <w:rFonts w:ascii="Times New Roman" w:cs="Times New Roman" w:eastAsia="Times New Roman" w:hAnsi="Times New Roman"/>
          <w:b w:val="1"/>
          <w:bCs w:val="1"/>
          <w:color w:val="000000"/>
          <w:sz w:val="24"/>
          <w:szCs w:val="24"/>
          <w:u w:val="single"/>
          <w:rtl w:val="0"/>
        </w:rPr>
        <w:t xml:space="preserve"> </w:t>
      </w:r>
      <w:r w:rsidDel="00000000" w:rsidR="00000000" w:rsidRPr="00000000">
        <w:rPr>
          <w:rFonts w:ascii="Times New Roman" w:cs="Times New Roman" w:eastAsia="Times New Roman" w:hAnsi="Times New Roman"/>
          <w:b w:val="1"/>
          <w:bCs w:val="1"/>
          <w:color w:val="131313"/>
          <w:sz w:val="24"/>
          <w:szCs w:val="24"/>
          <w:u w:val="single"/>
          <w:rtl w:val="0"/>
        </w:rPr>
        <w:t xml:space="preserve">із закупівлі устаткування для облаштування місць тимчасового перебування внутрішньо переміщених осіб в місті Дніпро</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240" w:before="240" w:line="240" w:lineRule="auto"/>
        <w:ind w:firstLine="540"/>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Перелік устаткування*</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240" w:before="240" w:line="240" w:lineRule="auto"/>
        <w:ind w:firstLine="54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Замовник приймає пропозиції на устаткування, які мають подібні характеристики і забезпечують результати, які є аналогічними (еквівалентними) або кращими за ті, які необхідні, відповідно до характеристики товарів.</w:t>
      </w:r>
    </w:p>
    <w:p w:rsidR="00000000" w:rsidDel="00000000" w:rsidP="00000000" w:rsidRDefault="00000000" w:rsidRPr="00000000" w14:paraId="00000032">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Учасник надає пропозицію з урахуванням доставки, розвантаження, занесення меблів безпосередньо до місця їх встановлення на об’єкті у м. Дніпро.</w:t>
      </w:r>
      <w:r w:rsidDel="00000000" w:rsidR="00000000" w:rsidRPr="00000000">
        <w:rPr>
          <w:rtl w:val="0"/>
        </w:rPr>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spacing w:before="240" w:line="240" w:lineRule="auto"/>
        <w:ind w:left="786" w:hanging="357"/>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Предмет закупівлі: закупівля корпусних меблів</w:t>
      </w:r>
      <w:r w:rsidDel="00000000" w:rsidR="00000000" w:rsidRPr="00000000">
        <w:rPr>
          <w:rtl w:val="0"/>
        </w:rPr>
      </w:r>
    </w:p>
    <w:tbl>
      <w:tblPr>
        <w:tblStyle w:val="Table1"/>
        <w:tblW w:w="9525.0" w:type="dxa"/>
        <w:jc w:val="left"/>
        <w:tblInd w:w="-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545"/>
        <w:gridCol w:w="2250"/>
        <w:gridCol w:w="1185"/>
        <w:gridCol w:w="840"/>
        <w:tblGridChange w:id="0">
          <w:tblGrid>
            <w:gridCol w:w="705"/>
            <w:gridCol w:w="4545"/>
            <w:gridCol w:w="2250"/>
            <w:gridCol w:w="1185"/>
            <w:gridCol w:w="840"/>
          </w:tblGrid>
        </w:tblGridChange>
      </w:tblGrid>
      <w:tr>
        <w:trPr>
          <w:cantSplit w:val="0"/>
          <w:trHeight w:val="520" w:hRule="atLeast"/>
          <w:tblHeader w:val="0"/>
        </w:trPr>
        <w:tc>
          <w:tcPr>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bookmarkStart w:colFirst="0" w:colLast="0" w:name="_heading=h.9votu7fsjr5m" w:id="5"/>
            <w:bookmarkEnd w:id="5"/>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vAlign w:val="center"/>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br w:type="textWrapping"/>
              <w:t xml:space="preserve">(детальний опис)</w:t>
            </w:r>
          </w:p>
        </w:tc>
        <w:tc>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Візуальне зображення товару</w:t>
            </w:r>
          </w:p>
        </w:tc>
        <w:tc>
          <w:tcPr>
            <w:vAlign w:val="center"/>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виміру</w:t>
            </w:r>
          </w:p>
        </w:tc>
        <w:tc>
          <w:tcPr>
            <w:vAlign w:val="center"/>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К-сть</w:t>
            </w:r>
          </w:p>
        </w:tc>
      </w:tr>
      <w:tr>
        <w:trPr>
          <w:cantSplit w:val="0"/>
          <w:trHeight w:val="2173" w:hRule="atLeast"/>
          <w:tblHeader w:val="0"/>
        </w:trPr>
        <w:tc>
          <w:tcPr>
            <w:vAlign w:val="center"/>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vAlign w:val="center"/>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Столик-тумба медична приліжкова на колісних опорах з гальмами, </w:t>
            </w:r>
            <w:r w:rsidDel="00000000" w:rsidR="00000000" w:rsidRPr="00000000">
              <w:rPr>
                <w:rFonts w:ascii="Times New Roman" w:cs="Times New Roman" w:eastAsia="Times New Roman" w:hAnsi="Times New Roman"/>
                <w:color w:val="000000"/>
                <w:sz w:val="24"/>
                <w:szCs w:val="24"/>
                <w:rtl w:val="0"/>
              </w:rPr>
              <w:t xml:space="preserve">матеріал - металевий каркас з полімерним покриттям, розмір - Довжина- 775 мм, Ширина- 430 мм, Висота- 780 мм, Тип конструкції- нерозбірна, повинна мати 2 видвіжних ящика, над видвіжними ящиками та під ними повинні бути полиці, додаткова повинна бути відкидна полиця.</w:t>
            </w:r>
          </w:p>
        </w:tc>
        <w:tc>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color w:val="000000"/>
              </w:rPr>
              <w:drawing>
                <wp:inline distB="0" distT="0" distL="0" distR="0">
                  <wp:extent cx="1282700" cy="1122680"/>
                  <wp:effectExtent b="0" l="0" r="0" t="0"/>
                  <wp:docPr id="2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82700" cy="112268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vAlign w:val="center"/>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r>
    </w:tbl>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240" w:before="24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u w:val="single"/>
          <w:rtl w:val="0"/>
        </w:rPr>
        <w:t xml:space="preserve">2) Предмет закупівлі: закупівля медичних меблів.</w:t>
      </w:r>
      <w:r w:rsidDel="00000000" w:rsidR="00000000" w:rsidRPr="00000000">
        <w:rPr>
          <w:rtl w:val="0"/>
        </w:rPr>
      </w:r>
    </w:p>
    <w:tbl>
      <w:tblPr>
        <w:tblStyle w:val="Table2"/>
        <w:tblW w:w="951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530"/>
        <w:gridCol w:w="2265"/>
        <w:gridCol w:w="1185"/>
        <w:gridCol w:w="825"/>
        <w:tblGridChange w:id="0">
          <w:tblGrid>
            <w:gridCol w:w="705"/>
            <w:gridCol w:w="4530"/>
            <w:gridCol w:w="2265"/>
            <w:gridCol w:w="1185"/>
            <w:gridCol w:w="825"/>
          </w:tblGrid>
        </w:tblGridChange>
      </w:tblGrid>
      <w:tr>
        <w:trPr>
          <w:cantSplit w:val="0"/>
          <w:trHeight w:val="831" w:hRule="atLeast"/>
          <w:tblHeader w:val="0"/>
        </w:trPr>
        <w:tc>
          <w:tcPr>
            <w:vAlign w:val="center"/>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bookmarkStart w:colFirst="0" w:colLast="0" w:name="_heading=h.o94jkruts252" w:id="6"/>
            <w:bookmarkEnd w:id="6"/>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vAlign w:val="center"/>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(детальний опис)</w:t>
            </w:r>
          </w:p>
        </w:tc>
        <w:tc>
          <w:tcPr/>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Візуальне зображення товару</w:t>
            </w:r>
          </w:p>
        </w:tc>
        <w:tc>
          <w:tcPr>
            <w:vAlign w:val="center"/>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виміру</w:t>
            </w:r>
          </w:p>
        </w:tc>
        <w:tc>
          <w:tcPr>
            <w:vAlign w:val="center"/>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highlight w:val="green"/>
              </w:rPr>
            </w:pPr>
            <w:r w:rsidDel="00000000" w:rsidR="00000000" w:rsidRPr="00000000">
              <w:rPr>
                <w:rFonts w:ascii="Times New Roman" w:cs="Times New Roman" w:eastAsia="Times New Roman" w:hAnsi="Times New Roman"/>
                <w:b w:val="1"/>
                <w:bCs w:val="1"/>
                <w:color w:val="000000"/>
                <w:sz w:val="24"/>
                <w:szCs w:val="24"/>
                <w:rtl w:val="0"/>
              </w:rPr>
              <w:t xml:space="preserve">К-сть</w:t>
            </w:r>
            <w:r w:rsidDel="00000000" w:rsidR="00000000" w:rsidRPr="00000000">
              <w:rPr>
                <w:rtl w:val="0"/>
              </w:rPr>
            </w:r>
          </w:p>
        </w:tc>
      </w:tr>
      <w:tr>
        <w:trPr>
          <w:cantSplit w:val="0"/>
          <w:trHeight w:val="4410" w:hRule="atLeast"/>
          <w:tblHeader w:val="0"/>
        </w:trPr>
        <w:tc>
          <w:tcPr>
            <w:vAlign w:val="center"/>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bookmarkStart w:colFirst="0" w:colLast="0" w:name="_heading=h.3j186k5vidoz" w:id="7"/>
            <w:bookmarkEnd w:id="7"/>
            <w:r w:rsidDel="00000000" w:rsidR="00000000" w:rsidRPr="00000000">
              <w:rPr>
                <w:rFonts w:ascii="Times New Roman" w:cs="Times New Roman" w:eastAsia="Times New Roman" w:hAnsi="Times New Roman"/>
                <w:color w:val="000000"/>
                <w:sz w:val="24"/>
                <w:szCs w:val="24"/>
                <w:rtl w:val="0"/>
              </w:rPr>
              <w:t xml:space="preserve">1</w:t>
            </w:r>
          </w:p>
        </w:tc>
        <w:tc>
          <w:tcPr>
            <w:vAlign w:val="center"/>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Функціональне ліжко</w:t>
            </w:r>
            <w:r w:rsidDel="00000000" w:rsidR="00000000" w:rsidRPr="00000000">
              <w:rPr>
                <w:rFonts w:ascii="Times New Roman" w:cs="Times New Roman" w:eastAsia="Times New Roman" w:hAnsi="Times New Roman"/>
                <w:color w:val="000000"/>
                <w:sz w:val="24"/>
                <w:szCs w:val="24"/>
                <w:rtl w:val="0"/>
              </w:rPr>
              <w:br w:type="textWrapping"/>
              <w:t xml:space="preserve">Тип керування - Електричне, Кількість секцій ложа -  4 секцій(підйомні секція для голови, дві для ніг та одна статична у зоні таза.), Керування положенням ліжка - за допомогою пульта дистанційного керування, Матеріал основної конструкції - метал, Матеріал спинки ліжка - дерево, Габаритні розміри ліжка, Д × Ш, (см)-   216 х 103, Розмір ложа, Д × Ш, (см) -195 х 89, Висота ложа від підлоги, (см) - від 25 до 65,Кут підйому головної секції-  75°,Кут підйому ножної секції- 30°. Максимальне навантаження - 180 кг. Ліжко повинно мати 4 колеса для зручного переміщення, колеса повинні мати фіксатори, В комплекті повинно бути - поручні, трапеція (гусак), тримачі для матраца.</w:t>
            </w:r>
          </w:p>
        </w:tc>
        <w:tc>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66676</wp:posOffset>
                  </wp:positionH>
                  <wp:positionV relativeFrom="paragraph">
                    <wp:posOffset>819150</wp:posOffset>
                  </wp:positionV>
                  <wp:extent cx="1132615" cy="1132615"/>
                  <wp:effectExtent b="0" l="0" r="0" t="0"/>
                  <wp:wrapNone/>
                  <wp:docPr descr="Функціональне ліжко з електрокеруванням OSD-HK-9530" id="20" name="image3.jpg"/>
                  <a:graphic>
                    <a:graphicData uri="http://schemas.openxmlformats.org/drawingml/2006/picture">
                      <pic:pic>
                        <pic:nvPicPr>
                          <pic:cNvPr descr="Функціональне ліжко з електрокеруванням OSD-HK-9530" id="0" name="image3.jpg"/>
                          <pic:cNvPicPr preferRelativeResize="0"/>
                        </pic:nvPicPr>
                        <pic:blipFill>
                          <a:blip r:embed="rId8"/>
                          <a:srcRect b="0" l="0" r="0" t="0"/>
                          <a:stretch>
                            <a:fillRect/>
                          </a:stretch>
                        </pic:blipFill>
                        <pic:spPr>
                          <a:xfrm>
                            <a:off x="0" y="0"/>
                            <a:ext cx="1132615" cy="1132615"/>
                          </a:xfrm>
                          <a:prstGeom prst="rect"/>
                          <a:ln/>
                        </pic:spPr>
                      </pic:pic>
                    </a:graphicData>
                  </a:graphic>
                </wp:anchor>
              </w:drawing>
            </w:r>
          </w:p>
        </w:tc>
        <w:tc>
          <w:tcPr>
            <w:vAlign w:val="center"/>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vAlign w:val="center"/>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50</w:t>
            </w:r>
          </w:p>
        </w:tc>
      </w:tr>
    </w:tbl>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240" w:before="240" w:lineRule="auto"/>
        <w:ind w:firstLine="426"/>
        <w:jc w:val="both"/>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3) Предмет закупівлі: закупівля матраців.</w:t>
      </w:r>
    </w:p>
    <w:tbl>
      <w:tblPr>
        <w:tblStyle w:val="Table3"/>
        <w:tblpPr w:leftFromText="180" w:rightFromText="180" w:topFromText="180" w:bottomFromText="180" w:vertAnchor="text" w:horzAnchor="text" w:tblpX="20" w:tblpY="2"/>
        <w:tblW w:w="96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0"/>
        <w:gridCol w:w="3900"/>
        <w:gridCol w:w="1890"/>
        <w:gridCol w:w="1320"/>
        <w:gridCol w:w="1935"/>
        <w:tblGridChange w:id="0">
          <w:tblGrid>
            <w:gridCol w:w="630"/>
            <w:gridCol w:w="3900"/>
            <w:gridCol w:w="1890"/>
            <w:gridCol w:w="1320"/>
            <w:gridCol w:w="1935"/>
          </w:tblGrid>
        </w:tblGridChange>
      </w:tblGrid>
      <w:tr>
        <w:trPr>
          <w:cantSplit w:val="0"/>
          <w:trHeight w:val="520" w:hRule="atLeast"/>
          <w:tblHeader w:val="0"/>
        </w:trPr>
        <w:tc>
          <w:tcPr>
            <w:vAlign w:val="center"/>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bookmarkStart w:colFirst="0" w:colLast="0" w:name="_heading=h.q5ik4r6gmhbh" w:id="8"/>
            <w:bookmarkEnd w:id="8"/>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vAlign w:val="center"/>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br w:type="textWrapping"/>
              <w:t xml:space="preserve">(детальний опис)</w:t>
            </w:r>
          </w:p>
        </w:tc>
        <w:tc>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Візуальне зображення товару</w:t>
            </w:r>
          </w:p>
        </w:tc>
        <w:tc>
          <w:tcPr>
            <w:vAlign w:val="center"/>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виміру</w:t>
            </w:r>
          </w:p>
        </w:tc>
        <w:tc>
          <w:tcPr>
            <w:vAlign w:val="center"/>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К-сть</w:t>
            </w:r>
          </w:p>
        </w:tc>
      </w:tr>
      <w:tr>
        <w:trPr>
          <w:cantSplit w:val="0"/>
          <w:trHeight w:val="1842" w:hRule="atLeast"/>
          <w:tblHeader w:val="0"/>
        </w:trPr>
        <w:tc>
          <w:tcPr>
            <w:vAlign w:val="center"/>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vAlign w:val="center"/>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Матрац ортопедичний </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Висота матраца 14-16 см. Розмір 90х200 см. Тип матраца - безпружинний, Матрац - двосторонній. Жорсткість сторін - середня / жорстка. Основне наповнення — еластична ортопедична піна або аналогічний матеріал може бути доданий шар кокосової койри. Чохол — трикотажна або аналогічна зносостійка тканина.</w:t>
            </w:r>
          </w:p>
        </w:tc>
        <w:tc>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55">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vAlign w:val="center"/>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50</w:t>
            </w:r>
          </w:p>
        </w:tc>
      </w:tr>
    </w:tbl>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240" w:before="240" w:line="240"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Зверніть увагу: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2838450</wp:posOffset>
            </wp:positionH>
            <wp:positionV relativeFrom="paragraph">
              <wp:posOffset>1181100</wp:posOffset>
            </wp:positionV>
            <wp:extent cx="1022350" cy="742907"/>
            <wp:effectExtent b="0" l="0" r="0" t="0"/>
            <wp:wrapNone/>
            <wp:docPr descr="COCO ROLL - ортопедический матрас ТМ COME-FOR Roll Innovation (Украина)" id="19" name="image2.jpg"/>
            <a:graphic>
              <a:graphicData uri="http://schemas.openxmlformats.org/drawingml/2006/picture">
                <pic:pic>
                  <pic:nvPicPr>
                    <pic:cNvPr descr="COCO ROLL - ортопедический матрас ТМ COME-FOR Roll Innovation (Украина)" id="0" name="image2.jpg"/>
                    <pic:cNvPicPr preferRelativeResize="0"/>
                  </pic:nvPicPr>
                  <pic:blipFill>
                    <a:blip r:embed="rId9"/>
                    <a:srcRect b="0" l="-18692" r="18692" t="0"/>
                    <a:stretch>
                      <a:fillRect/>
                    </a:stretch>
                  </pic:blipFill>
                  <pic:spPr>
                    <a:xfrm>
                      <a:off x="0" y="0"/>
                      <a:ext cx="1022350" cy="742907"/>
                    </a:xfrm>
                    <a:prstGeom prst="rect"/>
                    <a:ln/>
                  </pic:spPr>
                </pic:pic>
              </a:graphicData>
            </a:graphic>
          </wp:anchor>
        </w:drawing>
      </w:r>
    </w:p>
    <w:p w:rsidR="00000000" w:rsidDel="00000000" w:rsidP="00000000" w:rsidRDefault="00000000" w:rsidRPr="00000000" w14:paraId="00000058">
      <w:pPr>
        <w:numPr>
          <w:ilvl w:val="0"/>
          <w:numId w:val="2"/>
        </w:numPr>
        <w:pBdr>
          <w:top w:space="0" w:sz="0" w:val="nil"/>
          <w:left w:space="0" w:sz="0" w:val="nil"/>
          <w:bottom w:space="0" w:sz="0" w:val="nil"/>
          <w:right w:space="0" w:sz="0" w:val="nil"/>
          <w:between w:space="0" w:sz="0" w:val="nil"/>
        </w:pBdr>
        <w:spacing w:before="240" w:line="240" w:lineRule="auto"/>
        <w:ind w:left="0" w:firstLine="426"/>
        <w:jc w:val="both"/>
        <w:rPr>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Учасник повинен надати гарантію на продукцію, що постачається, строком не менше ніж передбачено виробником, гарантійні зобов’язання мають підтверджуватися відповідними документами виробника або постачальника (гарантійний талон, лист-гарантія, тощо). Якщо Учасник не надає лист-гарантію або запропонована гарантія не відповідає вимогам цього технічного завдання, його тендерна пропозиція відхиляється.</w:t>
      </w:r>
      <w:r w:rsidDel="00000000" w:rsidR="00000000" w:rsidRPr="00000000">
        <w:rPr>
          <w:rFonts w:ascii="Times New Roman" w:cs="Times New Roman" w:eastAsia="Times New Roman" w:hAnsi="Times New Roman"/>
          <w:b w:val="1"/>
          <w:bCs w:val="1"/>
          <w:color w:val="000000"/>
          <w:sz w:val="24"/>
          <w:szCs w:val="24"/>
          <w:rtl w:val="0"/>
        </w:rPr>
        <w:t xml:space="preserve">У разі виявлення протягом гарантійного строку недоліків, що виникли з вини виробника/постачальника. Учасник зобов’язаний здійснити безоплатний ремонт, заміну товару або повернення коштів.   </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240" w:before="240" w:line="240" w:lineRule="auto"/>
        <w:ind w:firstLine="360"/>
        <w:jc w:val="both"/>
        <w:rPr>
          <w:rFonts w:ascii="Times New Roman" w:cs="Times New Roman" w:eastAsia="Times New Roman" w:hAnsi="Times New Roman"/>
          <w:b w:val="1"/>
          <w:bCs w:val="1"/>
          <w:color w:val="1f1f1f"/>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*«СХІД-СОС» залишає за собою право змінити фінальну кількість одиниць замовленого товару в залежності від актуальних запитів на день закупівлі, що буде також відображене у договорах з переможцем(ями) тендеру.</w:t>
      </w:r>
      <w:r w:rsidDel="00000000" w:rsidR="00000000" w:rsidRPr="00000000">
        <w:rPr>
          <w:rtl w:val="0"/>
        </w:rPr>
      </w:r>
    </w:p>
    <w:p w:rsidR="00000000" w:rsidDel="00000000" w:rsidP="00000000" w:rsidRDefault="00000000" w:rsidRPr="00000000" w14:paraId="0000005A">
      <w:pPr>
        <w:pageBreakBefore w:val="1"/>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Додаток № 1.1. </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240" w:before="240" w:line="240" w:lineRule="auto"/>
        <w:ind w:firstLine="54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КОМЕРЦІЙНА ПРОПОЗИЦІЯ</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240" w:before="240" w:line="240" w:lineRule="auto"/>
        <w:ind w:firstLine="540"/>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Повне найменування Учасника </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240" w:before="240" w:line="240" w:lineRule="auto"/>
        <w:ind w:firstLine="540"/>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4"/>
          <w:szCs w:val="24"/>
          <w:rtl w:val="0"/>
        </w:rPr>
        <w:t xml:space="preserve"> __________________________________________________________________________, надає свою пропозицію щодо участі у тендері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w:t>
      </w:r>
      <w:r w:rsidDel="00000000" w:rsidR="00000000" w:rsidRPr="00000000">
        <w:rPr>
          <w:rFonts w:ascii="Times New Roman" w:cs="Times New Roman" w:eastAsia="Times New Roman" w:hAnsi="Times New Roman"/>
          <w:b w:val="1"/>
          <w:bCs w:val="1"/>
          <w:color w:val="131313"/>
          <w:sz w:val="24"/>
          <w:szCs w:val="24"/>
          <w:highlight w:val="white"/>
          <w:rtl w:val="0"/>
        </w:rPr>
        <w:t xml:space="preserve"> устаткування для облаштування місць тимчасового перебування внутрішньо переміщених осіб у місті Дніпро, </w:t>
      </w:r>
      <w:r w:rsidDel="00000000" w:rsidR="00000000" w:rsidRPr="00000000">
        <w:rPr>
          <w:rFonts w:ascii="Times New Roman" w:cs="Times New Roman" w:eastAsia="Times New Roman" w:hAnsi="Times New Roman"/>
          <w:b w:val="1"/>
          <w:bCs w:val="1"/>
          <w:color w:val="131313"/>
          <w:sz w:val="24"/>
          <w:szCs w:val="24"/>
          <w:rtl w:val="0"/>
        </w:rPr>
        <w:t xml:space="preserve">за проєктом </w:t>
      </w:r>
      <w:r w:rsidDel="00000000" w:rsidR="00000000" w:rsidRPr="00000000">
        <w:rPr>
          <w:rFonts w:ascii="Times New Roman" w:cs="Times New Roman" w:eastAsia="Times New Roman" w:hAnsi="Times New Roman"/>
          <w:b w:val="1"/>
          <w:bCs w:val="1"/>
          <w:color w:val="000000"/>
          <w:sz w:val="24"/>
          <w:szCs w:val="24"/>
          <w:rtl w:val="0"/>
        </w:rPr>
        <w:t xml:space="preserve">“Посилення механізмів захисту постраждалого внаслідок конфлікту населення” , який реалізується в рамках договору про реалізацію проєкту UKR2624, укладеного 17.08.2026 року з Норвезькою Радою у справах біженців (NRC) за фінансування Норвегії</w:t>
      </w:r>
      <w:r w:rsidDel="00000000" w:rsidR="00000000" w:rsidRPr="00000000">
        <w:rPr>
          <w:rtl w:val="0"/>
        </w:rPr>
      </w:r>
    </w:p>
    <w:tbl>
      <w:tblPr>
        <w:tblStyle w:val="Table4"/>
        <w:tblW w:w="900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6300"/>
        <w:tblGridChange w:id="0">
          <w:tblGrid>
            <w:gridCol w:w="2700"/>
            <w:gridCol w:w="6300"/>
          </w:tblGrid>
        </w:tblGridChange>
      </w:tblGrid>
      <w:tr>
        <w:trPr>
          <w:cantSplit w:val="0"/>
          <w:trHeight w:val="612"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підприємство</w:t>
            </w:r>
          </w:p>
        </w:tc>
        <w:tc>
          <w:tcPr>
            <w:tcMar>
              <w:top w:w="100.0" w:type="dxa"/>
              <w:left w:w="100.0" w:type="dxa"/>
              <w:bottom w:w="100.0" w:type="dxa"/>
              <w:right w:w="100.0" w:type="dxa"/>
            </w:tcMar>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Найменування юридичної особи/фізичної особи-підприємця</w:t>
            </w:r>
          </w:p>
        </w:tc>
      </w:tr>
      <w:tr>
        <w:trPr>
          <w:cantSplit w:val="0"/>
          <w:trHeight w:val="804"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Юридична адреса</w:t>
            </w:r>
          </w:p>
        </w:tc>
      </w:tr>
      <w:tr>
        <w:trPr>
          <w:cantSplit w:val="0"/>
          <w:trHeight w:val="596"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Фактична адреса/Місце провадження господарської діяльності</w:t>
            </w:r>
          </w:p>
        </w:tc>
      </w:tr>
      <w:tr>
        <w:trPr>
          <w:cantSplit w:val="0"/>
          <w:trHeight w:val="568"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Код ЄДРПОУ/ідентифікаційний номер</w:t>
            </w:r>
          </w:p>
        </w:tc>
      </w:tr>
      <w:tr>
        <w:trPr>
          <w:cantSplit w:val="0"/>
          <w:trHeight w:val="983"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Телефон, електронна пошта</w:t>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Адреса веб-сайту (за наявності)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особу (осіб), які уповноважені представляти інтереси учасника</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(Прізвище, ім’я, по батькові, посада, контактний телефон)</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i w:val="1"/>
                <w:iCs w:val="1"/>
                <w:color w:val="1b1b1b"/>
              </w:rPr>
            </w:pP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Термін поставки товару</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Учасник вказує термін поставки товару </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rPr>
            </w:pPr>
            <w:r w:rsidDel="00000000" w:rsidR="00000000" w:rsidRPr="00000000">
              <w:rPr>
                <w:rFonts w:ascii="Times New Roman" w:cs="Times New Roman" w:eastAsia="Times New Roman" w:hAnsi="Times New Roman"/>
                <w:b w:val="1"/>
                <w:bCs w:val="1"/>
                <w:color w:val="1b1b1b"/>
                <w:rtl w:val="0"/>
              </w:rPr>
              <w:t xml:space="preserve">Доставка у м. Дніпро</w:t>
            </w:r>
          </w:p>
        </w:tc>
        <w:tc>
          <w:tcPr>
            <w:tcMar>
              <w:top w:w="100.0" w:type="dxa"/>
              <w:left w:w="100.0" w:type="dxa"/>
              <w:bottom w:w="100.0" w:type="dxa"/>
              <w:right w:w="100.0" w:type="dxa"/>
            </w:tcMa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Вартість доставки товару повинна бути врахована у вартості товару</w:t>
            </w:r>
          </w:p>
        </w:tc>
      </w:tr>
    </w:tbl>
    <w:p w:rsidR="00000000" w:rsidDel="00000000" w:rsidP="00000000" w:rsidRDefault="00000000" w:rsidRPr="00000000" w14:paraId="00000070">
      <w:pPr>
        <w:spacing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rtl w:val="0"/>
        </w:rPr>
        <w:t xml:space="preserve">Просимо Учасників тендеру заповнити тільки ті Додатки, в яких вони мають змогу надати товар з можливістю доставки.</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befor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Просимо надати найкращу можливу пропозицію з переліком товарів ціна/якість.</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befor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befor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befor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ДЕКЛАРАЦІЯ ВІДПОВІДНОСТІ УЧАСНИКА</w:t>
      </w:r>
      <w:r w:rsidDel="00000000" w:rsidR="00000000" w:rsidRPr="00000000">
        <w:rPr>
          <w:rFonts w:ascii="Times New Roman" w:cs="Times New Roman" w:eastAsia="Times New Roman" w:hAnsi="Times New Roman"/>
          <w:color w:val="000000"/>
          <w:vertAlign w:val="superscript"/>
          <w:rtl w:val="0"/>
        </w:rPr>
        <w:t xml:space="preserve">[1]</w:t>
      </w:r>
      <w:r w:rsidDel="00000000" w:rsidR="00000000" w:rsidRPr="00000000">
        <w:rPr>
          <w:rtl w:val="0"/>
        </w:rPr>
      </w:r>
    </w:p>
    <w:tbl>
      <w:tblPr>
        <w:tblStyle w:val="Table5"/>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7905"/>
        <w:tblGridChange w:id="0">
          <w:tblGrid>
            <w:gridCol w:w="690"/>
            <w:gridCol w:w="615"/>
            <w:gridCol w:w="7905"/>
          </w:tblGrid>
        </w:tblGridChange>
      </w:tblGrid>
      <w:tr>
        <w:trPr>
          <w:cantSplit w:val="0"/>
          <w:trHeight w:val="78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160" w:lineRule="auto"/>
              <w:ind w:left="-120" w:right="-100" w:firstLine="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160" w:lineRule="auto"/>
              <w:ind w:left="-120" w:right="-100" w:firstLine="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b w:val="1"/>
                <w:bCs w:val="1"/>
                <w:color w:val="000000"/>
              </w:rPr>
            </w:pPr>
            <w:r w:rsidDel="00000000" w:rsidR="00000000" w:rsidRPr="00000000">
              <w:rPr>
                <w:rtl w:val="0"/>
              </w:rPr>
            </w:r>
          </w:p>
        </w:tc>
      </w:tr>
      <w:tr>
        <w:trPr>
          <w:cantSplit w:val="0"/>
          <w:trHeight w:val="470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362726388"/>
                <w:tag w:val="goog_rdk_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502205273"/>
                <w:tag w:val="goog_rdk_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2079481106"/>
                <w:tag w:val="goog_rdk_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11186146"/>
                <w:tag w:val="goog_rdk_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19686514"/>
                <w:tag w:val="goog_rdk_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942244619"/>
                <w:tag w:val="goog_rdk_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673011280"/>
                <w:tag w:val="goog_rdk_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901134402"/>
                <w:tag w:val="goog_rdk_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777840971"/>
                <w:tag w:val="goog_rdk_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167843436"/>
                <w:tag w:val="goog_rdk_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337818525"/>
                <w:tag w:val="goog_rdk_1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213852638"/>
                <w:tag w:val="goog_rdk_1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751494802"/>
                <w:tag w:val="goog_rdk_1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952055638"/>
                <w:tag w:val="goog_rdk_1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936527568"/>
                <w:tag w:val="goog_rdk_1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442359308"/>
                <w:tag w:val="goog_rdk_1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27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525183149"/>
                <w:tag w:val="goog_rdk_1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022148781"/>
                <w:tag w:val="goog_rdk_1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436182651"/>
                <w:tag w:val="goog_rdk_1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350598860"/>
                <w:tag w:val="goog_rdk_1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50368111"/>
                <w:tag w:val="goog_rdk_2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646782249"/>
                <w:tag w:val="goog_rdk_2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725555075"/>
                <w:tag w:val="goog_rdk_2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852768067"/>
                <w:tag w:val="goog_rdk_2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2104448312"/>
                <w:tag w:val="goog_rdk_2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644232480"/>
                <w:tag w:val="goog_rdk_2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10">
              <w:r w:rsidDel="00000000" w:rsidR="00000000" w:rsidRPr="00000000">
                <w:rPr>
                  <w:rFonts w:ascii="Times New Roman" w:cs="Times New Roman" w:eastAsia="Times New Roman" w:hAnsi="Times New Roman"/>
                  <w:color w:val="000000"/>
                  <w:rtl w:val="0"/>
                </w:rPr>
                <w:t xml:space="preserve"> </w:t>
              </w:r>
            </w:hyperlink>
            <w:hyperlink r:id="rId11">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4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633701460"/>
                <w:tag w:val="goog_rdk_2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262983954"/>
                <w:tag w:val="goog_rdk_2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color w:val="000000"/>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12">
              <w:r w:rsidDel="00000000" w:rsidR="00000000" w:rsidRPr="00000000">
                <w:rPr>
                  <w:rFonts w:ascii="Times New Roman" w:cs="Times New Roman" w:eastAsia="Times New Roman" w:hAnsi="Times New Roman"/>
                  <w:color w:val="000000"/>
                  <w:rtl w:val="0"/>
                </w:rPr>
                <w:t xml:space="preserve"> </w:t>
              </w:r>
            </w:hyperlink>
            <w:hyperlink r:id="rId13">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17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649328776"/>
                <w:tag w:val="goog_rdk_2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206849688"/>
                <w:tag w:val="goog_rdk_2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1151333089"/>
                <w:tag w:val="goog_rdk_3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556543410"/>
                <w:tag w:val="goog_rdk_3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203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866837591"/>
                <w:tag w:val="goog_rdk_3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color w:val="000000"/>
              </w:rPr>
            </w:pPr>
            <w:sdt>
              <w:sdtPr>
                <w:id w:val="279978400"/>
                <w:tag w:val="goog_rdk_3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Від імені Постачальника згоден, що Благодійна організація “Благодійний фонд “СХІД-СОС”залишає за собою право розірвати будь-який контракт між Благодійною організацію “Благодійний фонд “СХІД-СОС”та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0AC">
      <w:pPr>
        <w:pBdr>
          <w:top w:space="0" w:sz="0" w:val="nil"/>
          <w:left w:space="0" w:sz="0" w:val="nil"/>
          <w:bottom w:space="0" w:sz="0" w:val="nil"/>
          <w:right w:space="0" w:sz="0" w:val="nil"/>
          <w:between w:space="0" w:sz="0" w:val="nil"/>
        </w:pBdr>
        <w:spacing w:befor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36"/>
          <w:szCs w:val="36"/>
          <w:vertAlign w:val="superscript"/>
          <w:rtl w:val="0"/>
        </w:rPr>
        <w:t xml:space="preserve">[1]</w:t>
      </w:r>
      <w:r w:rsidDel="00000000" w:rsidR="00000000" w:rsidRPr="00000000">
        <w:rPr>
          <w:rFonts w:ascii="Times New Roman" w:cs="Times New Roman" w:eastAsia="Times New Roman" w:hAnsi="Times New Roman"/>
          <w:color w:val="000000"/>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0AE">
      <w:pPr>
        <w:pageBreakBefore w:val="1"/>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Додаток № 1.2.</w:t>
      </w:r>
    </w:p>
    <w:p w:rsidR="00000000" w:rsidDel="00000000" w:rsidP="00000000" w:rsidRDefault="00000000" w:rsidRPr="00000000" w14:paraId="000000AF">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w:t>
      </w:r>
    </w:p>
    <w:p w:rsidR="00000000" w:rsidDel="00000000" w:rsidP="00000000" w:rsidRDefault="00000000" w:rsidRPr="00000000" w14:paraId="000000B0">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корпусних меблів</w:t>
      </w:r>
    </w:p>
    <w:tbl>
      <w:tblPr>
        <w:tblStyle w:val="Table6"/>
        <w:tblW w:w="9887.0" w:type="dxa"/>
        <w:jc w:val="left"/>
        <w:tblInd w:w="-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3685"/>
        <w:gridCol w:w="1985"/>
        <w:gridCol w:w="992"/>
        <w:gridCol w:w="840"/>
        <w:gridCol w:w="840"/>
        <w:gridCol w:w="840"/>
        <w:tblGridChange w:id="0">
          <w:tblGrid>
            <w:gridCol w:w="705"/>
            <w:gridCol w:w="3685"/>
            <w:gridCol w:w="1985"/>
            <w:gridCol w:w="992"/>
            <w:gridCol w:w="840"/>
            <w:gridCol w:w="840"/>
            <w:gridCol w:w="840"/>
          </w:tblGrid>
        </w:tblGridChange>
      </w:tblGrid>
      <w:tr>
        <w:trPr>
          <w:cantSplit w:val="0"/>
          <w:trHeight w:val="520" w:hRule="atLeast"/>
          <w:tblHeader w:val="0"/>
        </w:trPr>
        <w:tc>
          <w:tcP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Назва товару</w:t>
            </w:r>
            <w:r w:rsidDel="00000000" w:rsidR="00000000" w:rsidRPr="00000000">
              <w:rPr>
                <w:rtl w:val="0"/>
              </w:rPr>
            </w:r>
          </w:p>
        </w:tc>
        <w:tc>
          <w:tcP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Детальний опис пропозиції / виробник / модель</w:t>
            </w:r>
            <w:r w:rsidDel="00000000" w:rsidR="00000000" w:rsidRPr="00000000">
              <w:rPr>
                <w:rtl w:val="0"/>
              </w:rPr>
            </w:r>
          </w:p>
        </w:tc>
        <w:tc>
          <w:tcP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Одиниця вимиру</w:t>
            </w:r>
            <w:r w:rsidDel="00000000" w:rsidR="00000000" w:rsidRPr="00000000">
              <w:rPr>
                <w:rtl w:val="0"/>
              </w:rPr>
            </w:r>
          </w:p>
        </w:tc>
        <w:tc>
          <w:tcP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К-сть</w:t>
            </w:r>
            <w:r w:rsidDel="00000000" w:rsidR="00000000" w:rsidRPr="00000000">
              <w:rPr>
                <w:rtl w:val="0"/>
              </w:rPr>
            </w:r>
          </w:p>
        </w:tc>
        <w:tc>
          <w:tcP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Ціна за одиницю, грн. з ПДВ</w:t>
            </w:r>
            <w:r w:rsidDel="00000000" w:rsidR="00000000" w:rsidRPr="00000000">
              <w:rPr>
                <w:rtl w:val="0"/>
              </w:rPr>
            </w:r>
          </w:p>
        </w:tc>
        <w:tc>
          <w:tcP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Загальна вартість товару, грн. з ПДВ</w:t>
            </w:r>
            <w:r w:rsidDel="00000000" w:rsidR="00000000" w:rsidRPr="00000000">
              <w:rPr>
                <w:rtl w:val="0"/>
              </w:rPr>
            </w:r>
          </w:p>
        </w:tc>
      </w:tr>
      <w:tr>
        <w:trPr>
          <w:cantSplit w:val="0"/>
          <w:trHeight w:val="2529" w:hRule="atLeast"/>
          <w:tblHeader w:val="0"/>
        </w:trPr>
        <w:tc>
          <w:tcP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Столик-тумба медична приліжкова на колісних опорах з гальмами, </w:t>
            </w:r>
            <w:r w:rsidDel="00000000" w:rsidR="00000000" w:rsidRPr="00000000">
              <w:rPr>
                <w:rFonts w:ascii="Times New Roman" w:cs="Times New Roman" w:eastAsia="Times New Roman" w:hAnsi="Times New Roman"/>
                <w:color w:val="000000"/>
                <w:sz w:val="24"/>
                <w:szCs w:val="24"/>
                <w:rtl w:val="0"/>
              </w:rPr>
              <w:t xml:space="preserve">матеріал - металевий каркас з полімерним покриттям, розмір - Довжина- 775 мм, Ширина- 430 мм, Висота- 780 мм, Тип конструкції- нерозбірна, повинна мати 2 видвіжних ящика, над видвіжними ящиками та під ними повинні бути полиці, додаткова повинна бути відкидна полиця.</w:t>
            </w:r>
          </w:p>
        </w:tc>
        <w:tc>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highlight w:val="green"/>
              </w:rPr>
            </w:pPr>
            <w:r w:rsidDel="00000000" w:rsidR="00000000" w:rsidRPr="00000000">
              <w:rPr>
                <w:rtl w:val="0"/>
              </w:rPr>
            </w:r>
          </w:p>
        </w:tc>
        <w:tc>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highlight w:val="green"/>
              </w:rPr>
            </w:pPr>
            <w:r w:rsidDel="00000000" w:rsidR="00000000" w:rsidRPr="00000000">
              <w:rPr>
                <w:rtl w:val="0"/>
              </w:rPr>
            </w:r>
          </w:p>
        </w:tc>
      </w:tr>
      <w:tr>
        <w:trPr>
          <w:cantSplit w:val="0"/>
          <w:trHeight w:val="520" w:hRule="atLeast"/>
          <w:tblHeader w:val="0"/>
        </w:trPr>
        <w:tc>
          <w:tcP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РАЗОМ </w:t>
            </w:r>
          </w:p>
        </w:tc>
        <w:tc>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highlight w:val="green"/>
              </w:rPr>
            </w:pPr>
            <w:r w:rsidDel="00000000" w:rsidR="00000000" w:rsidRPr="00000000">
              <w:rPr>
                <w:rtl w:val="0"/>
              </w:rPr>
            </w:r>
          </w:p>
        </w:tc>
        <w:tc>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highlight w:val="green"/>
              </w:rPr>
            </w:pPr>
            <w:r w:rsidDel="00000000" w:rsidR="00000000" w:rsidRPr="00000000">
              <w:rPr>
                <w:rtl w:val="0"/>
              </w:rPr>
            </w:r>
          </w:p>
        </w:tc>
      </w:tr>
    </w:tbl>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bookmarkStart w:colFirst="0" w:colLast="0" w:name="_heading=h.bqjskn68x9zr" w:id="9"/>
      <w:bookmarkEnd w:id="9"/>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 характеристики якого є відповідними або покращеними.</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Додаток № 1.3.</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  </w:t>
      </w:r>
    </w:p>
    <w:p w:rsidR="00000000" w:rsidDel="00000000" w:rsidP="00000000" w:rsidRDefault="00000000" w:rsidRPr="00000000" w14:paraId="000000D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w:t>
      </w:r>
      <w:r w:rsidDel="00000000" w:rsidR="00000000" w:rsidRPr="00000000">
        <w:rPr>
          <w:rFonts w:ascii="Times New Roman" w:cs="Times New Roman" w:eastAsia="Times New Roman" w:hAnsi="Times New Roman"/>
          <w:b w:val="1"/>
          <w:bCs w:val="1"/>
          <w:color w:val="000000"/>
          <w:sz w:val="24"/>
          <w:szCs w:val="24"/>
          <w:rtl w:val="0"/>
        </w:rPr>
        <w:t xml:space="preserve"> медичних меблів</w:t>
      </w:r>
      <w:r w:rsidDel="00000000" w:rsidR="00000000" w:rsidRPr="00000000">
        <w:rPr>
          <w:rtl w:val="0"/>
        </w:rPr>
      </w:r>
    </w:p>
    <w:tbl>
      <w:tblPr>
        <w:tblStyle w:val="Table7"/>
        <w:tblW w:w="9945.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3840"/>
        <w:gridCol w:w="2100"/>
        <w:gridCol w:w="930"/>
        <w:gridCol w:w="675"/>
        <w:gridCol w:w="870"/>
        <w:gridCol w:w="825"/>
        <w:tblGridChange w:id="0">
          <w:tblGrid>
            <w:gridCol w:w="705"/>
            <w:gridCol w:w="3840"/>
            <w:gridCol w:w="2100"/>
            <w:gridCol w:w="930"/>
            <w:gridCol w:w="675"/>
            <w:gridCol w:w="870"/>
            <w:gridCol w:w="825"/>
          </w:tblGrid>
        </w:tblGridChange>
      </w:tblGrid>
      <w:tr>
        <w:trPr>
          <w:cantSplit w:val="0"/>
          <w:trHeight w:val="1253" w:hRule="atLeast"/>
          <w:tblHeader w:val="0"/>
        </w:trPr>
        <w:tc>
          <w:tcP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line="240" w:lineRule="auto"/>
              <w:ind w:left="-101" w:right="-106" w:firstLine="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Назва товару</w:t>
            </w:r>
          </w:p>
        </w:tc>
        <w:tc>
          <w:tcPr>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Детальний опис пропозиції / виробник / модель</w:t>
            </w:r>
          </w:p>
        </w:tc>
        <w:tc>
          <w:tcPr>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Одиниця вимиру</w:t>
            </w:r>
          </w:p>
        </w:tc>
        <w:tc>
          <w:tcP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К-сть</w:t>
            </w:r>
          </w:p>
        </w:tc>
        <w:tc>
          <w:tcP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Ціна за одиницю, грн. з ПДВ</w:t>
            </w:r>
          </w:p>
        </w:tc>
        <w:tc>
          <w:tcP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Загальна вартість товару, грн. з ПДВ</w:t>
            </w:r>
          </w:p>
        </w:tc>
      </w:tr>
      <w:tr>
        <w:trPr>
          <w:cantSplit w:val="0"/>
          <w:trHeight w:val="6749" w:hRule="atLeast"/>
          <w:tblHeader w:val="0"/>
        </w:trPr>
        <w:tc>
          <w:tcP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Функціональне ліжко</w:t>
            </w:r>
            <w:r w:rsidDel="00000000" w:rsidR="00000000" w:rsidRPr="00000000">
              <w:rPr>
                <w:rFonts w:ascii="Times New Roman" w:cs="Times New Roman" w:eastAsia="Times New Roman" w:hAnsi="Times New Roman"/>
                <w:color w:val="000000"/>
                <w:sz w:val="24"/>
                <w:szCs w:val="24"/>
                <w:rtl w:val="0"/>
              </w:rPr>
              <w:br w:type="textWrapping"/>
              <w:t xml:space="preserve">Тип керування - Електричне, Кількість секцій ложа -  4 секцій(підйомні секція для голови, дві для ніг та одна статична у зоні таза.), Керування положенням ліжка - за допомогою пульта дистанційного керування, Матеріал основної конструкції - метал, Матеріал спинки ліжка - дерево, Габаритні розміри ліжка, Д × Ш, (см)-   216 х 103, Розмір ложа, Д × Ш, (см) -195 х 89, Висота ложа від підлоги, (см) - від 25 до 65,Кут підйому головної секції-  75°,Кут підйому ножної секції- 30°. Максимальне навантаження - 180 кг. Ліжко повинно мати 4 колеса для зручного переміщення, колеса повинні мати фіксатори, В комплекті повинно бути - поручні, трапеція (гусак), тримачі для матраца.</w:t>
            </w:r>
          </w:p>
        </w:tc>
        <w:tc>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50</w:t>
            </w:r>
          </w:p>
        </w:tc>
        <w:tc>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49" w:hRule="atLeast"/>
          <w:tblHeader w:val="0"/>
        </w:trPr>
        <w:tc>
          <w:tcPr>
            <w:vAlign w:val="center"/>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РАЗОМ</w:t>
            </w:r>
          </w:p>
        </w:tc>
        <w:tc>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before="0" w:lin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before="0" w:lin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before="0" w:lin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before="0" w:lin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before="0" w:lin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 характеристики якого є відповідними або покращеними.</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before="0" w:lin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Додаток № 1.4.</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  </w:t>
      </w:r>
    </w:p>
    <w:p w:rsidR="00000000" w:rsidDel="00000000" w:rsidP="00000000" w:rsidRDefault="00000000" w:rsidRPr="00000000" w14:paraId="000000F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w:t>
      </w:r>
      <w:r w:rsidDel="00000000" w:rsidR="00000000" w:rsidRPr="00000000">
        <w:rPr>
          <w:rFonts w:ascii="Times New Roman" w:cs="Times New Roman" w:eastAsia="Times New Roman" w:hAnsi="Times New Roman"/>
          <w:b w:val="1"/>
          <w:bCs w:val="1"/>
          <w:color w:val="000000"/>
          <w:sz w:val="24"/>
          <w:szCs w:val="24"/>
          <w:rtl w:val="0"/>
        </w:rPr>
        <w:t xml:space="preserve"> матраців</w:t>
      </w:r>
      <w:r w:rsidDel="00000000" w:rsidR="00000000" w:rsidRPr="00000000">
        <w:rPr>
          <w:rtl w:val="0"/>
        </w:rPr>
      </w:r>
    </w:p>
    <w:tbl>
      <w:tblPr>
        <w:tblStyle w:val="Table8"/>
        <w:tblW w:w="993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2985"/>
        <w:gridCol w:w="2685"/>
        <w:gridCol w:w="990"/>
        <w:gridCol w:w="840"/>
        <w:gridCol w:w="900"/>
        <w:gridCol w:w="825"/>
        <w:tblGridChange w:id="0">
          <w:tblGrid>
            <w:gridCol w:w="705"/>
            <w:gridCol w:w="2985"/>
            <w:gridCol w:w="2685"/>
            <w:gridCol w:w="990"/>
            <w:gridCol w:w="840"/>
            <w:gridCol w:w="900"/>
            <w:gridCol w:w="825"/>
          </w:tblGrid>
        </w:tblGridChange>
      </w:tblGrid>
      <w:tr>
        <w:trPr>
          <w:cantSplit w:val="0"/>
          <w:trHeight w:val="1253" w:hRule="atLeast"/>
          <w:tblHeader w:val="0"/>
        </w:trPr>
        <w:tc>
          <w:tcPr>
            <w:vAlign w:val="center"/>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vAlign w:val="center"/>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40" w:lineRule="auto"/>
              <w:ind w:left="-101" w:right="-106"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Назва товару</w:t>
            </w:r>
            <w:r w:rsidDel="00000000" w:rsidR="00000000" w:rsidRPr="00000000">
              <w:rPr>
                <w:rtl w:val="0"/>
              </w:rPr>
            </w:r>
          </w:p>
        </w:tc>
        <w:tc>
          <w:tcPr>
            <w:vAlign w:val="center"/>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Детальний опис пропозиції / виробник / модель</w:t>
            </w:r>
            <w:r w:rsidDel="00000000" w:rsidR="00000000" w:rsidRPr="00000000">
              <w:rPr>
                <w:rtl w:val="0"/>
              </w:rPr>
            </w:r>
          </w:p>
        </w:tc>
        <w:tc>
          <w:tcPr>
            <w:vAlign w:val="center"/>
          </w:tcPr>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Одиниця вимиру</w:t>
            </w:r>
            <w:r w:rsidDel="00000000" w:rsidR="00000000" w:rsidRPr="00000000">
              <w:rPr>
                <w:rtl w:val="0"/>
              </w:rPr>
            </w:r>
          </w:p>
        </w:tc>
        <w:tc>
          <w:tcPr>
            <w:vAlign w:val="center"/>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К-сть</w:t>
            </w:r>
            <w:r w:rsidDel="00000000" w:rsidR="00000000" w:rsidRPr="00000000">
              <w:rPr>
                <w:rtl w:val="0"/>
              </w:rPr>
            </w:r>
          </w:p>
        </w:tc>
        <w:tc>
          <w:tcPr>
            <w:vAlign w:val="center"/>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Ціна за одиницю, грн. з ПДВ</w:t>
            </w:r>
            <w:r w:rsidDel="00000000" w:rsidR="00000000" w:rsidRPr="00000000">
              <w:rPr>
                <w:rtl w:val="0"/>
              </w:rPr>
            </w:r>
          </w:p>
        </w:tc>
        <w:tc>
          <w:tcPr>
            <w:vAlign w:val="center"/>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Загальна вартість товару, грн. з ПДВ</w:t>
            </w:r>
            <w:r w:rsidDel="00000000" w:rsidR="00000000" w:rsidRPr="00000000">
              <w:rPr>
                <w:rtl w:val="0"/>
              </w:rPr>
            </w:r>
          </w:p>
        </w:tc>
      </w:tr>
      <w:tr>
        <w:trPr>
          <w:cantSplit w:val="0"/>
          <w:trHeight w:val="1253" w:hRule="atLeast"/>
          <w:tblHeader w:val="0"/>
        </w:trPr>
        <w:tc>
          <w:tcPr>
            <w:vAlign w:val="center"/>
          </w:tcPr>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vAlign w:val="center"/>
          </w:tcPr>
          <w:p w:rsidR="00000000" w:rsidDel="00000000" w:rsidP="00000000" w:rsidRDefault="00000000" w:rsidRPr="00000000" w14:paraId="000000FC">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Матрац ортопедичний </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Висота матраца 14-16 см. Розмір 90х200 см. Тип матраца - безпружинний, Матрац - двосторонній. Жорсткість сторін - середня / жорстка. Основне наповнення — еластична ортопедична піна або аналогічний матеріал може бути доданий шар кокосової койри. Чохол — трикотажна або аналогічна зносостійка тканина.</w:t>
            </w: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line="240" w:lineRule="auto"/>
              <w:ind w:left="-101" w:right="-106" w:firstLine="0"/>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FF">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vAlign w:val="center"/>
          </w:tcPr>
          <w:p w:rsidR="00000000" w:rsidDel="00000000" w:rsidP="00000000" w:rsidRDefault="00000000" w:rsidRPr="00000000" w14:paraId="00000101">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50</w:t>
            </w:r>
          </w:p>
        </w:tc>
        <w:tc>
          <w:tcPr/>
          <w:p w:rsidR="00000000" w:rsidDel="00000000" w:rsidP="00000000" w:rsidRDefault="00000000" w:rsidRPr="00000000" w14:paraId="00000102">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3">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49" w:hRule="atLeast"/>
          <w:tblHeader w:val="0"/>
        </w:trPr>
        <w:tc>
          <w:tcPr>
            <w:vAlign w:val="center"/>
          </w:tcPr>
          <w:p w:rsidR="00000000" w:rsidDel="00000000" w:rsidP="00000000" w:rsidRDefault="00000000" w:rsidRPr="00000000" w14:paraId="00000104">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105">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РАЗОМ</w:t>
            </w:r>
          </w:p>
        </w:tc>
        <w:tc>
          <w:tcPr/>
          <w:p w:rsidR="00000000" w:rsidDel="00000000" w:rsidP="00000000" w:rsidRDefault="00000000" w:rsidRPr="00000000" w14:paraId="00000106">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107">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9">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A">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 ,характеристики якого є відповідними або покращеними.</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112">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1b1b1b"/>
          <w:sz w:val="24"/>
          <w:szCs w:val="24"/>
        </w:rPr>
      </w:pPr>
      <w:r w:rsidDel="00000000" w:rsidR="00000000" w:rsidRPr="00000000">
        <w:rPr>
          <w:rtl w:val="0"/>
        </w:rPr>
      </w:r>
    </w:p>
    <w:sectPr>
      <w:headerReference r:id="rId14" w:type="default"/>
      <w:pgSz w:h="16834" w:w="11909" w:orient="portrait"/>
      <w:pgMar w:bottom="851" w:top="851" w:left="1134" w:right="113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86" w:hanging="360.0000000000002"/>
      </w:pPr>
      <w:rPr>
        <w:color w:val="000000"/>
      </w:rPr>
    </w:lvl>
    <w:lvl w:ilvl="1">
      <w:start w:val="1"/>
      <w:numFmt w:val="lowerLetter"/>
      <w:lvlText w:val="%2."/>
      <w:lvlJc w:val="left"/>
      <w:pPr>
        <w:ind w:left="1620" w:hanging="360"/>
      </w:pPr>
      <w:rPr/>
    </w:lvl>
    <w:lvl w:ilvl="2">
      <w:start w:val="1"/>
      <w:numFmt w:val="lowerRoman"/>
      <w:lvlText w:val="%3."/>
      <w:lvlJc w:val="right"/>
      <w:pPr>
        <w:ind w:left="2340" w:hanging="180"/>
      </w:pPr>
      <w:rPr/>
    </w:lvl>
    <w:lvl w:ilvl="3">
      <w:start w:val="1"/>
      <w:numFmt w:val="decimal"/>
      <w:lvlText w:val="%4."/>
      <w:lvlJc w:val="left"/>
      <w:pPr>
        <w:ind w:left="3060" w:hanging="360"/>
      </w:pPr>
      <w:rPr/>
    </w:lvl>
    <w:lvl w:ilvl="4">
      <w:start w:val="1"/>
      <w:numFmt w:val="lowerLetter"/>
      <w:lvlText w:val="%5."/>
      <w:lvlJc w:val="left"/>
      <w:pPr>
        <w:ind w:left="3780" w:hanging="360"/>
      </w:pPr>
      <w:rPr/>
    </w:lvl>
    <w:lvl w:ilvl="5">
      <w:start w:val="1"/>
      <w:numFmt w:val="lowerRoman"/>
      <w:lvlText w:val="%6."/>
      <w:lvlJc w:val="right"/>
      <w:pPr>
        <w:ind w:left="4500" w:hanging="180"/>
      </w:pPr>
      <w:rPr/>
    </w:lvl>
    <w:lvl w:ilvl="6">
      <w:start w:val="1"/>
      <w:numFmt w:val="decimal"/>
      <w:lvlText w:val="%7."/>
      <w:lvlJc w:val="left"/>
      <w:pPr>
        <w:ind w:left="5220" w:hanging="360"/>
      </w:pPr>
      <w:rPr/>
    </w:lvl>
    <w:lvl w:ilvl="7">
      <w:start w:val="1"/>
      <w:numFmt w:val="lowerLetter"/>
      <w:lvlText w:val="%8."/>
      <w:lvlJc w:val="left"/>
      <w:pPr>
        <w:ind w:left="5940" w:hanging="360"/>
      </w:pPr>
      <w:rPr/>
    </w:lvl>
    <w:lvl w:ilvl="8">
      <w:start w:val="1"/>
      <w:numFmt w:val="lowerRoman"/>
      <w:lvlText w:val="%9."/>
      <w:lvlJc w:val="right"/>
      <w:pPr>
        <w:ind w:left="6660" w:hanging="180"/>
      </w:pPr>
      <w:rPr/>
    </w:lvl>
  </w:abstractNum>
  <w:abstractNum w:abstractNumId="2">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Normal Table"/>
    <w:tblPr>
      <w:tblCellMar>
        <w:top w:w="100.0" w:type="dxa"/>
        <w:left w:w="100.0" w:type="dxa"/>
        <w:bottom w:w="100.0" w:type="dxa"/>
        <w:right w:w="100.0" w:type="dxa"/>
      </w:tblCellMar>
    </w:tblPr>
  </w:style>
  <w:style w:type="character" w:styleId="DefaultParagraphFont" w:default="1">
    <w:name w:val="Default Paragraph Font"/>
    <w:uiPriority w:val="1"/>
    <w:semiHidden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NormalTable0" w:customStyle="1">
    <w:name w:val="Normal Table00"/>
    <w:tblPr>
      <w:tblCellMar>
        <w:top w:w="100.0" w:type="dxa"/>
        <w:left w:w="100.0" w:type="dxa"/>
        <w:bottom w:w="100.0" w:type="dxa"/>
        <w:right w:w="100.0" w:type="dxa"/>
      </w:tblCellMar>
    </w:tblPr>
  </w:style>
  <w:style w:type="paragraph" w:styleId="Normal0" w:customStyle="1">
    <w:name w:val="Normal0"/>
  </w:style>
  <w:style w:type="table" w:styleId="NormalTable1" w:customStyle="1">
    <w:name w:val="Normal Table1"/>
    <w:uiPriority w:val="99"/>
    <w:semiHidden w:val="1"/>
    <w:unhideWhenUsed w:val="1"/>
    <w:tblPr>
      <w:tblInd w:w="0.0" w:type="dxa"/>
      <w:tblCellMar>
        <w:top w:w="0.0" w:type="dxa"/>
        <w:left w:w="108.0" w:type="dxa"/>
        <w:bottom w:w="0.0" w:type="dxa"/>
        <w:right w:w="108.0" w:type="dxa"/>
      </w:tblCellMar>
    </w:tblPr>
  </w:style>
  <w:style w:type="table" w:styleId="TableNormal1" w:customStyle="1">
    <w:name w:val="TableNormal0"/>
    <w:tblPr>
      <w:tblCellMar>
        <w:top w:w="100.0" w:type="dxa"/>
        <w:left w:w="100.0" w:type="dxa"/>
        <w:bottom w:w="100.0" w:type="dxa"/>
        <w:right w:w="100.0" w:type="dxa"/>
      </w:tblCellMar>
    </w:tblPr>
  </w:style>
  <w:style w:type="table" w:styleId="TableNormal00" w:customStyle="1">
    <w:name w:val="TableNormal00"/>
    <w:tblPr>
      <w:tblCellMar>
        <w:top w:w="100.0" w:type="dxa"/>
        <w:left w:w="100.0" w:type="dxa"/>
        <w:bottom w:w="100.0" w:type="dxa"/>
        <w:right w:w="100.0" w:type="dxa"/>
      </w:tblCellMar>
    </w:tblPr>
  </w:style>
  <w:style w:type="table" w:styleId="TableNormal10" w:customStyle="1">
    <w:name w:val="TableNormal1"/>
    <w:tblPr>
      <w:tblCellMar>
        <w:top w:w="100.0" w:type="dxa"/>
        <w:left w:w="100.0" w:type="dxa"/>
        <w:bottom w:w="100.0" w:type="dxa"/>
        <w:right w:w="100.0" w:type="dxa"/>
      </w:tblCellMar>
    </w:tblPr>
  </w:style>
  <w:style w:type="table" w:styleId="a" w:customStyle="1">
    <w:basedOn w:val="TableNormal10"/>
    <w:tblPr>
      <w:tblStyleRowBandSize w:val="1"/>
      <w:tblStyleColBandSize w:val="1"/>
      <w:tblCellMar>
        <w:top w:w="0.0" w:type="dxa"/>
        <w:left w:w="115.0" w:type="dxa"/>
        <w:bottom w:w="0.0" w:type="dxa"/>
        <w:right w:w="115.0" w:type="dxa"/>
      </w:tblCellMar>
    </w:tblPr>
  </w:style>
  <w:style w:type="table" w:styleId="a0" w:customStyle="1">
    <w:basedOn w:val="TableNormal10"/>
    <w:tblPr>
      <w:tblStyleRowBandSize w:val="1"/>
      <w:tblStyleColBandSize w:val="1"/>
      <w:tblCellMar>
        <w:top w:w="0.0" w:type="dxa"/>
        <w:left w:w="115.0" w:type="dxa"/>
        <w:bottom w:w="0.0" w:type="dxa"/>
        <w:right w:w="115.0" w:type="dxa"/>
      </w:tblCellMar>
    </w:tblPr>
  </w:style>
  <w:style w:type="table" w:styleId="a1" w:customStyle="1">
    <w:basedOn w:val="TableNormal10"/>
    <w:tblPr>
      <w:tblStyleRowBandSize w:val="1"/>
      <w:tblStyleColBandSize w:val="1"/>
      <w:tblCellMar>
        <w:top w:w="0.0" w:type="dxa"/>
        <w:left w:w="115.0" w:type="dxa"/>
        <w:bottom w:w="0.0" w:type="dxa"/>
        <w:right w:w="115.0" w:type="dxa"/>
      </w:tblCellMar>
    </w:tblPr>
  </w:style>
  <w:style w:type="table" w:styleId="a2" w:customStyle="1">
    <w:basedOn w:val="TableNormal10"/>
    <w:tblPr>
      <w:tblStyleRowBandSize w:val="1"/>
      <w:tblStyleColBandSize w:val="1"/>
      <w:tblCellMar>
        <w:top w:w="0.0" w:type="dxa"/>
        <w:left w:w="0.0" w:type="dxa"/>
        <w:bottom w:w="0.0" w:type="dxa"/>
        <w:right w:w="0.0" w:type="dxa"/>
      </w:tblCellMar>
    </w:tblPr>
  </w:style>
  <w:style w:type="table" w:styleId="a3" w:customStyle="1">
    <w:basedOn w:val="TableNormal10"/>
    <w:tblPr>
      <w:tblStyleRowBandSize w:val="1"/>
      <w:tblStyleColBandSize w:val="1"/>
      <w:tblCellMar>
        <w:top w:w="0.0" w:type="dxa"/>
        <w:left w:w="115.0" w:type="dxa"/>
        <w:bottom w:w="0.0" w:type="dxa"/>
        <w:right w:w="115.0" w:type="dxa"/>
      </w:tblCellMar>
    </w:tblPr>
  </w:style>
  <w:style w:type="table" w:styleId="a4" w:customStyle="1">
    <w:basedOn w:val="TableNormal10"/>
    <w:tblPr>
      <w:tblStyleRowBandSize w:val="1"/>
      <w:tblStyleColBandSize w:val="1"/>
      <w:tblCellMar>
        <w:top w:w="0.0" w:type="dxa"/>
        <w:left w:w="115.0" w:type="dxa"/>
        <w:bottom w:w="0.0" w:type="dxa"/>
        <w:right w:w="115.0" w:type="dxa"/>
      </w:tblCellMar>
    </w:tblPr>
  </w:style>
  <w:style w:type="table" w:styleId="a5" w:customStyle="1">
    <w:basedOn w:val="TableNormal10"/>
    <w:tblPr>
      <w:tblStyleRowBandSize w:val="1"/>
      <w:tblStyleColBandSize w:val="1"/>
      <w:tblCellMar>
        <w:top w:w="0.0" w:type="dxa"/>
        <w:left w:w="115.0" w:type="dxa"/>
        <w:bottom w:w="0.0" w:type="dxa"/>
        <w:right w:w="115.0" w:type="dxa"/>
      </w:tblCellMar>
    </w:tblPr>
  </w:style>
  <w:style w:type="table" w:styleId="a6" w:customStyle="1">
    <w:basedOn w:val="TableNormal10"/>
    <w:tblPr>
      <w:tblStyleRowBandSize w:val="1"/>
      <w:tblStyleColBandSize w:val="1"/>
      <w:tblCellMar>
        <w:top w:w="0.0" w:type="dxa"/>
        <w:left w:w="115.0" w:type="dxa"/>
        <w:bottom w:w="0.0" w:type="dxa"/>
        <w:right w:w="115.0" w:type="dxa"/>
      </w:tblCellMar>
    </w:tblPr>
  </w:style>
  <w:style w:type="paragraph" w:styleId="ListParagraph">
    <w:name w:val="List Paragraph"/>
    <w:uiPriority w:val="34"/>
    <w:qFormat w:val="1"/>
    <w:rsid w:val="0011521F"/>
    <w:pPr>
      <w:ind w:left="720"/>
      <w:contextualSpacing w:val="1"/>
    </w:pPr>
  </w:style>
  <w:style w:type="character" w:styleId="Hyperlink">
    <w:name w:val="Hyperlink"/>
    <w:basedOn w:val="DefaultParagraphFont"/>
    <w:uiPriority w:val="99"/>
    <w:unhideWhenUsed w:val="1"/>
    <w:rsid w:val="005F690F"/>
    <w:rPr>
      <w:color w:val="0000ff" w:themeColor="hyperlink"/>
      <w:u w:val="single"/>
    </w:rPr>
  </w:style>
  <w:style w:type="table" w:styleId="a7" w:customStyle="1">
    <w:basedOn w:val="TableNormal10"/>
    <w:tblPr>
      <w:tblStyleRowBandSize w:val="1"/>
      <w:tblStyleColBandSize w:val="1"/>
      <w:tblCellMar>
        <w:top w:w="0.0" w:type="dxa"/>
        <w:left w:w="115.0" w:type="dxa"/>
        <w:bottom w:w="0.0" w:type="dxa"/>
        <w:right w:w="115.0" w:type="dxa"/>
      </w:tblCellMar>
    </w:tblPr>
  </w:style>
  <w:style w:type="table" w:styleId="a8" w:customStyle="1">
    <w:basedOn w:val="TableNormal10"/>
    <w:tblPr>
      <w:tblStyleRowBandSize w:val="1"/>
      <w:tblStyleColBandSize w:val="1"/>
      <w:tblCellMar>
        <w:top w:w="0.0" w:type="dxa"/>
        <w:left w:w="115.0" w:type="dxa"/>
        <w:bottom w:w="0.0" w:type="dxa"/>
        <w:right w:w="115.0" w:type="dxa"/>
      </w:tblCellMar>
    </w:tblPr>
  </w:style>
  <w:style w:type="table" w:styleId="a9" w:customStyle="1">
    <w:basedOn w:val="TableNormal10"/>
    <w:tblPr>
      <w:tblStyleRowBandSize w:val="1"/>
      <w:tblStyleColBandSize w:val="1"/>
      <w:tblCellMar>
        <w:top w:w="0.0" w:type="dxa"/>
        <w:left w:w="115.0" w:type="dxa"/>
        <w:bottom w:w="0.0" w:type="dxa"/>
        <w:right w:w="115.0" w:type="dxa"/>
      </w:tblCellMar>
    </w:tblPr>
  </w:style>
  <w:style w:type="table" w:styleId="aa" w:customStyle="1">
    <w:basedOn w:val="TableNormal10"/>
    <w:tblPr>
      <w:tblStyleRowBandSize w:val="1"/>
      <w:tblStyleColBandSize w:val="1"/>
      <w:tblCellMar>
        <w:top w:w="0.0" w:type="dxa"/>
        <w:left w:w="115.0" w:type="dxa"/>
        <w:bottom w:w="0.0" w:type="dxa"/>
        <w:right w:w="115.0" w:type="dxa"/>
      </w:tblCellMar>
    </w:tblPr>
  </w:style>
  <w:style w:type="table" w:styleId="ab" w:customStyle="1">
    <w:basedOn w:val="TableNormal10"/>
    <w:tblPr>
      <w:tblStyleRowBandSize w:val="1"/>
      <w:tblStyleColBandSize w:val="1"/>
      <w:tblCellMar>
        <w:top w:w="0.0" w:type="dxa"/>
        <w:left w:w="0.0" w:type="dxa"/>
        <w:bottom w:w="0.0" w:type="dxa"/>
        <w:right w:w="0.0" w:type="dxa"/>
      </w:tblCellMar>
    </w:tblPr>
  </w:style>
  <w:style w:type="table" w:styleId="ac" w:customStyle="1">
    <w:basedOn w:val="TableNormal10"/>
    <w:tblPr>
      <w:tblStyleRowBandSize w:val="1"/>
      <w:tblStyleColBandSize w:val="1"/>
      <w:tblCellMar>
        <w:top w:w="0.0" w:type="dxa"/>
        <w:left w:w="115.0" w:type="dxa"/>
        <w:bottom w:w="0.0" w:type="dxa"/>
        <w:right w:w="115.0" w:type="dxa"/>
      </w:tblCellMar>
    </w:tblPr>
  </w:style>
  <w:style w:type="table" w:styleId="ad" w:customStyle="1">
    <w:basedOn w:val="TableNormal10"/>
    <w:tblPr>
      <w:tblStyleRowBandSize w:val="1"/>
      <w:tblStyleColBandSize w:val="1"/>
      <w:tblCellMar>
        <w:top w:w="0.0" w:type="dxa"/>
        <w:left w:w="115.0" w:type="dxa"/>
        <w:bottom w:w="0.0" w:type="dxa"/>
        <w:right w:w="115.0" w:type="dxa"/>
      </w:tblCellMar>
    </w:tblPr>
  </w:style>
  <w:style w:type="table" w:styleId="ae" w:customStyle="1">
    <w:basedOn w:val="TableNormal10"/>
    <w:tblPr>
      <w:tblStyleRowBandSize w:val="1"/>
      <w:tblStyleColBandSize w:val="1"/>
      <w:tblCellMar>
        <w:top w:w="0.0" w:type="dxa"/>
        <w:left w:w="115.0" w:type="dxa"/>
        <w:bottom w:w="0.0" w:type="dxa"/>
        <w:right w:w="115.0" w:type="dxa"/>
      </w:tblCellMar>
    </w:tblPr>
  </w:style>
  <w:style w:type="table" w:styleId="af" w:customStyle="1">
    <w:basedOn w:val="TableNormal10"/>
    <w:tblPr>
      <w:tblStyleRowBandSize w:val="1"/>
      <w:tblStyleColBandSize w:val="1"/>
      <w:tblCellMar>
        <w:top w:w="0.0" w:type="dxa"/>
        <w:left w:w="115.0" w:type="dxa"/>
        <w:bottom w:w="0.0" w:type="dxa"/>
        <w:right w:w="115.0" w:type="dxa"/>
      </w:tblCellMar>
    </w:tblPr>
  </w:style>
  <w:style w:type="table" w:styleId="af0" w:customStyle="1">
    <w:basedOn w:val="TableNormal10"/>
    <w:tblPr>
      <w:tblStyleRowBandSize w:val="1"/>
      <w:tblStyleColBandSize w:val="1"/>
      <w:tblCellMar>
        <w:top w:w="0.0" w:type="dxa"/>
        <w:left w:w="115.0" w:type="dxa"/>
        <w:bottom w:w="0.0" w:type="dxa"/>
        <w:right w:w="115.0" w:type="dxa"/>
      </w:tblCellMar>
    </w:tblPr>
  </w:style>
  <w:style w:type="table" w:styleId="af1" w:customStyle="1">
    <w:basedOn w:val="TableNormal00"/>
    <w:tblPr>
      <w:tblStyleRowBandSize w:val="1"/>
      <w:tblStyleColBandSize w:val="1"/>
      <w:tblCellMar>
        <w:top w:w="0.0" w:type="dxa"/>
        <w:left w:w="115.0" w:type="dxa"/>
        <w:bottom w:w="0.0" w:type="dxa"/>
        <w:right w:w="115.0" w:type="dxa"/>
      </w:tblCellMar>
    </w:tblPr>
  </w:style>
  <w:style w:type="table" w:styleId="af2" w:customStyle="1">
    <w:basedOn w:val="TableNormal00"/>
    <w:tblPr>
      <w:tblStyleRowBandSize w:val="1"/>
      <w:tblStyleColBandSize w:val="1"/>
      <w:tblCellMar>
        <w:top w:w="0.0" w:type="dxa"/>
        <w:left w:w="115.0" w:type="dxa"/>
        <w:bottom w:w="0.0" w:type="dxa"/>
        <w:right w:w="115.0" w:type="dxa"/>
      </w:tblCellMar>
    </w:tblPr>
  </w:style>
  <w:style w:type="table" w:styleId="af3" w:customStyle="1">
    <w:basedOn w:val="TableNormal00"/>
    <w:tblPr>
      <w:tblStyleRowBandSize w:val="1"/>
      <w:tblStyleColBandSize w:val="1"/>
      <w:tblCellMar>
        <w:top w:w="0.0" w:type="dxa"/>
        <w:left w:w="115.0" w:type="dxa"/>
        <w:bottom w:w="0.0" w:type="dxa"/>
        <w:right w:w="115.0" w:type="dxa"/>
      </w:tblCellMar>
    </w:tblPr>
  </w:style>
  <w:style w:type="table" w:styleId="af4" w:customStyle="1">
    <w:basedOn w:val="TableNormal00"/>
    <w:tblPr>
      <w:tblStyleRowBandSize w:val="1"/>
      <w:tblStyleColBandSize w:val="1"/>
      <w:tblCellMar>
        <w:top w:w="0.0" w:type="dxa"/>
        <w:left w:w="115.0" w:type="dxa"/>
        <w:bottom w:w="0.0" w:type="dxa"/>
        <w:right w:w="115.0" w:type="dxa"/>
      </w:tblCellMar>
    </w:tblPr>
  </w:style>
  <w:style w:type="table" w:styleId="af5" w:customStyle="1">
    <w:basedOn w:val="TableNormal00"/>
    <w:tblPr>
      <w:tblStyleRowBandSize w:val="1"/>
      <w:tblStyleColBandSize w:val="1"/>
      <w:tblCellMar>
        <w:top w:w="0.0" w:type="dxa"/>
        <w:left w:w="115.0" w:type="dxa"/>
        <w:bottom w:w="0.0" w:type="dxa"/>
        <w:right w:w="115.0" w:type="dxa"/>
      </w:tblCellMar>
    </w:tblPr>
  </w:style>
  <w:style w:type="table" w:styleId="af6" w:customStyle="1">
    <w:basedOn w:val="TableNormal00"/>
    <w:tblPr>
      <w:tblStyleRowBandSize w:val="1"/>
      <w:tblStyleColBandSize w:val="1"/>
      <w:tblCellMar>
        <w:top w:w="0.0" w:type="dxa"/>
        <w:left w:w="115.0" w:type="dxa"/>
        <w:bottom w:w="0.0" w:type="dxa"/>
        <w:right w:w="115.0" w:type="dxa"/>
      </w:tblCellMar>
    </w:tblPr>
  </w:style>
  <w:style w:type="table" w:styleId="af7" w:customStyle="1">
    <w:basedOn w:val="TableNormal00"/>
    <w:tblPr>
      <w:tblStyleRowBandSize w:val="1"/>
      <w:tblStyleColBandSize w:val="1"/>
      <w:tblCellMar>
        <w:top w:w="0.0" w:type="dxa"/>
        <w:left w:w="115.0" w:type="dxa"/>
        <w:bottom w:w="0.0" w:type="dxa"/>
        <w:right w:w="115.0" w:type="dxa"/>
      </w:tblCellMar>
    </w:tblPr>
  </w:style>
  <w:style w:type="table" w:styleId="af8" w:customStyle="1">
    <w:basedOn w:val="TableNormal00"/>
    <w:tblPr>
      <w:tblStyleRowBandSize w:val="1"/>
      <w:tblStyleColBandSize w:val="1"/>
      <w:tblCellMar>
        <w:top w:w="0.0" w:type="dxa"/>
        <w:left w:w="115.0" w:type="dxa"/>
        <w:bottom w:w="0.0" w:type="dxa"/>
        <w:right w:w="115.0" w:type="dxa"/>
      </w:tblCellMar>
    </w:tblPr>
  </w:style>
  <w:style w:type="table" w:styleId="af9" w:customStyle="1">
    <w:basedOn w:val="TableNormal00"/>
    <w:tblPr>
      <w:tblStyleRowBandSize w:val="1"/>
      <w:tblStyleColBandSize w:val="1"/>
      <w:tblCellMar>
        <w:top w:w="0.0" w:type="dxa"/>
        <w:left w:w="0.0" w:type="dxa"/>
        <w:bottom w:w="0.0" w:type="dxa"/>
        <w:right w:w="0.0" w:type="dxa"/>
      </w:tblCellMar>
    </w:tblPr>
  </w:style>
  <w:style w:type="table" w:styleId="afa" w:customStyle="1">
    <w:basedOn w:val="TableNormal00"/>
    <w:tblPr>
      <w:tblStyleRowBandSize w:val="1"/>
      <w:tblStyleColBandSize w:val="1"/>
      <w:tblCellMar>
        <w:top w:w="0.0" w:type="dxa"/>
        <w:left w:w="115.0" w:type="dxa"/>
        <w:bottom w:w="0.0" w:type="dxa"/>
        <w:right w:w="115.0" w:type="dxa"/>
      </w:tblCellMar>
    </w:tblPr>
  </w:style>
  <w:style w:type="table" w:styleId="afb" w:customStyle="1">
    <w:basedOn w:val="TableNormal00"/>
    <w:tblPr>
      <w:tblStyleRowBandSize w:val="1"/>
      <w:tblStyleColBandSize w:val="1"/>
      <w:tblCellMar>
        <w:top w:w="0.0" w:type="dxa"/>
        <w:left w:w="115.0" w:type="dxa"/>
        <w:bottom w:w="0.0" w:type="dxa"/>
        <w:right w:w="115.0" w:type="dxa"/>
      </w:tblCellMar>
    </w:tblPr>
  </w:style>
  <w:style w:type="table" w:styleId="afc" w:customStyle="1">
    <w:basedOn w:val="TableNormal00"/>
    <w:tblPr>
      <w:tblStyleRowBandSize w:val="1"/>
      <w:tblStyleColBandSize w:val="1"/>
      <w:tblCellMar>
        <w:top w:w="0.0" w:type="dxa"/>
        <w:left w:w="115.0" w:type="dxa"/>
        <w:bottom w:w="0.0" w:type="dxa"/>
        <w:right w:w="115.0" w:type="dxa"/>
      </w:tblCellMar>
    </w:tblPr>
  </w:style>
  <w:style w:type="table" w:styleId="afd" w:customStyle="1">
    <w:basedOn w:val="TableNormal00"/>
    <w:tblPr>
      <w:tblStyleRowBandSize w:val="1"/>
      <w:tblStyleColBandSize w:val="1"/>
      <w:tblCellMar>
        <w:top w:w="0.0" w:type="dxa"/>
        <w:left w:w="115.0" w:type="dxa"/>
        <w:bottom w:w="0.0" w:type="dxa"/>
        <w:right w:w="115.0" w:type="dxa"/>
      </w:tblCellMar>
    </w:tblPr>
  </w:style>
  <w:style w:type="table" w:styleId="afe" w:customStyle="1">
    <w:basedOn w:val="TableNormal00"/>
    <w:tblPr>
      <w:tblStyleRowBandSize w:val="1"/>
      <w:tblStyleColBandSize w:val="1"/>
      <w:tblCellMar>
        <w:top w:w="0.0" w:type="dxa"/>
        <w:left w:w="115.0" w:type="dxa"/>
        <w:bottom w:w="0.0" w:type="dxa"/>
        <w:right w:w="115.0" w:type="dxa"/>
      </w:tblCellMar>
    </w:tblPr>
  </w:style>
  <w:style w:type="table" w:styleId="aff" w:customStyle="1">
    <w:basedOn w:val="TableNormal00"/>
    <w:tblPr>
      <w:tblStyleRowBandSize w:val="1"/>
      <w:tblStyleColBandSize w:val="1"/>
      <w:tblCellMar>
        <w:top w:w="0.0" w:type="dxa"/>
        <w:left w:w="115.0" w:type="dxa"/>
        <w:bottom w:w="0.0" w:type="dxa"/>
        <w:right w:w="115.0" w:type="dxa"/>
      </w:tblCellMar>
    </w:tblPr>
  </w:style>
  <w:style w:type="table" w:styleId="aff0" w:customStyle="1">
    <w:basedOn w:val="TableNormal00"/>
    <w:tblPr>
      <w:tblStyleRowBandSize w:val="1"/>
      <w:tblStyleColBandSize w:val="1"/>
      <w:tblCellMar>
        <w:top w:w="0.0" w:type="dxa"/>
        <w:left w:w="115.0" w:type="dxa"/>
        <w:bottom w:w="0.0" w:type="dxa"/>
        <w:right w:w="115.0" w:type="dxa"/>
      </w:tblCellMar>
    </w:tblPr>
  </w:style>
  <w:style w:type="table" w:styleId="aff1" w:customStyle="1">
    <w:basedOn w:val="TableNormal00"/>
    <w:tblPr>
      <w:tblStyleRowBandSize w:val="1"/>
      <w:tblStyleColBandSize w:val="1"/>
      <w:tblCellMar>
        <w:top w:w="0.0" w:type="dxa"/>
        <w:left w:w="115.0" w:type="dxa"/>
        <w:bottom w:w="0.0" w:type="dxa"/>
        <w:right w:w="115.0" w:type="dxa"/>
      </w:tblCellMar>
    </w:tblPr>
  </w:style>
  <w:style w:type="table" w:styleId="aff2" w:customStyle="1">
    <w:basedOn w:val="TableNormal00"/>
    <w:tblPr>
      <w:tblStyleRowBandSize w:val="1"/>
      <w:tblStyleColBandSize w:val="1"/>
      <w:tblCellMar>
        <w:top w:w="0.0" w:type="dxa"/>
        <w:left w:w="115.0" w:type="dxa"/>
        <w:bottom w:w="0.0" w:type="dxa"/>
        <w:right w:w="115.0" w:type="dxa"/>
      </w:tblCellMar>
    </w:tblPr>
  </w:style>
  <w:style w:type="table" w:styleId="aff3" w:customStyle="1">
    <w:basedOn w:val="TableNormal1"/>
    <w:tblPr>
      <w:tblStyleRowBandSize w:val="1"/>
      <w:tblStyleColBandSize w:val="1"/>
      <w:tblCellMar>
        <w:top w:w="0.0" w:type="dxa"/>
        <w:left w:w="115.0" w:type="dxa"/>
        <w:bottom w:w="0.0" w:type="dxa"/>
        <w:right w:w="115.0" w:type="dxa"/>
      </w:tblCellMar>
    </w:tblPr>
  </w:style>
  <w:style w:type="table" w:styleId="aff4" w:customStyle="1">
    <w:basedOn w:val="TableNormal1"/>
    <w:tblPr>
      <w:tblStyleRowBandSize w:val="1"/>
      <w:tblStyleColBandSize w:val="1"/>
      <w:tblCellMar>
        <w:top w:w="0.0" w:type="dxa"/>
        <w:left w:w="115.0" w:type="dxa"/>
        <w:bottom w:w="0.0" w:type="dxa"/>
        <w:right w:w="115.0" w:type="dxa"/>
      </w:tblCellMar>
    </w:tblPr>
  </w:style>
  <w:style w:type="table" w:styleId="aff5" w:customStyle="1">
    <w:basedOn w:val="TableNormal1"/>
    <w:tblPr>
      <w:tblStyleRowBandSize w:val="1"/>
      <w:tblStyleColBandSize w:val="1"/>
      <w:tblCellMar>
        <w:top w:w="0.0" w:type="dxa"/>
        <w:left w:w="115.0" w:type="dxa"/>
        <w:bottom w:w="0.0" w:type="dxa"/>
        <w:right w:w="115.0" w:type="dxa"/>
      </w:tblCellMar>
    </w:tblPr>
  </w:style>
  <w:style w:type="table" w:styleId="aff6" w:customStyle="1">
    <w:basedOn w:val="TableNormal1"/>
    <w:tblPr>
      <w:tblStyleRowBandSize w:val="1"/>
      <w:tblStyleColBandSize w:val="1"/>
      <w:tblCellMar>
        <w:top w:w="0.0" w:type="dxa"/>
        <w:left w:w="0.0" w:type="dxa"/>
        <w:bottom w:w="0.0" w:type="dxa"/>
        <w:right w:w="0.0" w:type="dxa"/>
      </w:tblCellMar>
    </w:tblPr>
  </w:style>
  <w:style w:type="table" w:styleId="aff7" w:customStyle="1">
    <w:basedOn w:val="TableNormal1"/>
    <w:tblPr>
      <w:tblStyleRowBandSize w:val="1"/>
      <w:tblStyleColBandSize w:val="1"/>
      <w:tblCellMar>
        <w:top w:w="0.0" w:type="dxa"/>
        <w:left w:w="115.0" w:type="dxa"/>
        <w:bottom w:w="0.0" w:type="dxa"/>
        <w:right w:w="115.0" w:type="dxa"/>
      </w:tblCellMar>
    </w:tblPr>
  </w:style>
  <w:style w:type="table" w:styleId="aff8" w:customStyle="1">
    <w:basedOn w:val="TableNormal1"/>
    <w:tblPr>
      <w:tblStyleRowBandSize w:val="1"/>
      <w:tblStyleColBandSize w:val="1"/>
      <w:tblCellMar>
        <w:top w:w="0.0" w:type="dxa"/>
        <w:left w:w="115.0" w:type="dxa"/>
        <w:bottom w:w="0.0" w:type="dxa"/>
        <w:right w:w="115.0" w:type="dxa"/>
      </w:tblCellMar>
    </w:tblPr>
  </w:style>
  <w:style w:type="table" w:styleId="aff9" w:customStyle="1">
    <w:basedOn w:val="TableNormal1"/>
    <w:tblPr>
      <w:tblStyleRowBandSize w:val="1"/>
      <w:tblStyleColBandSize w:val="1"/>
      <w:tblCellMar>
        <w:top w:w="0.0" w:type="dxa"/>
        <w:left w:w="115.0" w:type="dxa"/>
        <w:bottom w:w="0.0" w:type="dxa"/>
        <w:right w:w="115.0" w:type="dxa"/>
      </w:tblCellMar>
    </w:tblPr>
  </w:style>
  <w:style w:type="table" w:styleId="affa" w:customStyle="1">
    <w:basedOn w:val="TableNormal1"/>
    <w:tblPr>
      <w:tblStyleRowBandSize w:val="1"/>
      <w:tblStyleColBandSize w:val="1"/>
      <w:tblCellMar>
        <w:top w:w="0.0" w:type="dxa"/>
        <w:left w:w="115.0" w:type="dxa"/>
        <w:bottom w:w="0.0" w:type="dxa"/>
        <w:right w:w="115.0" w:type="dxa"/>
      </w:tblCellMar>
    </w:tblPr>
  </w:style>
  <w:style w:type="table" w:styleId="affb" w:customStyle="1">
    <w:basedOn w:val="TableNormal1"/>
    <w:tblPr>
      <w:tblStyleRowBandSize w:val="1"/>
      <w:tblStyleColBandSize w:val="1"/>
      <w:tblCellMar>
        <w:top w:w="0.0" w:type="dxa"/>
        <w:left w:w="115.0" w:type="dxa"/>
        <w:bottom w:w="0.0" w:type="dxa"/>
        <w:right w:w="115.0" w:type="dxa"/>
      </w:tblCellMar>
    </w:tblPr>
  </w:style>
  <w:style w:type="table" w:styleId="affc" w:customStyle="1">
    <w:basedOn w:val="TableNormal1"/>
    <w:tblPr>
      <w:tblStyleRowBandSize w:val="1"/>
      <w:tblStyleColBandSize w:val="1"/>
      <w:tblCellMar>
        <w:top w:w="0.0" w:type="dxa"/>
        <w:left w:w="115.0" w:type="dxa"/>
        <w:bottom w:w="0.0" w:type="dxa"/>
        <w:right w:w="115.0" w:type="dxa"/>
      </w:tblCellMar>
    </w:tblPr>
  </w:style>
  <w:style w:type="table" w:styleId="affd" w:customStyle="1">
    <w:basedOn w:val="TableNormal1"/>
    <w:tblPr>
      <w:tblStyleRowBandSize w:val="1"/>
      <w:tblStyleColBandSize w:val="1"/>
      <w:tblCellMar>
        <w:top w:w="0.0" w:type="dxa"/>
        <w:left w:w="115.0" w:type="dxa"/>
        <w:bottom w:w="0.0" w:type="dxa"/>
        <w:right w:w="115.0" w:type="dxa"/>
      </w:tblCellMar>
    </w:tblPr>
  </w:style>
  <w:style w:type="table" w:styleId="affe" w:customStyle="1">
    <w:basedOn w:val="TableNormal1"/>
    <w:tblPr>
      <w:tblStyleRowBandSize w:val="1"/>
      <w:tblStyleColBandSize w:val="1"/>
      <w:tblCellMar>
        <w:top w:w="0.0" w:type="dxa"/>
        <w:left w:w="0.0" w:type="dxa"/>
        <w:bottom w:w="0.0" w:type="dxa"/>
        <w:right w:w="0.0" w:type="dxa"/>
      </w:tblCellMar>
    </w:tblPr>
  </w:style>
  <w:style w:type="table" w:styleId="afff" w:customStyle="1">
    <w:basedOn w:val="TableNormal1"/>
    <w:tblPr>
      <w:tblStyleRowBandSize w:val="1"/>
      <w:tblStyleColBandSize w:val="1"/>
      <w:tblCellMar>
        <w:top w:w="0.0" w:type="dxa"/>
        <w:left w:w="115.0" w:type="dxa"/>
        <w:bottom w:w="0.0" w:type="dxa"/>
        <w:right w:w="115.0" w:type="dxa"/>
      </w:tblCellMar>
    </w:tblPr>
  </w:style>
  <w:style w:type="table" w:styleId="afff0" w:customStyle="1">
    <w:basedOn w:val="TableNormal1"/>
    <w:tblPr>
      <w:tblStyleRowBandSize w:val="1"/>
      <w:tblStyleColBandSize w:val="1"/>
      <w:tblCellMar>
        <w:top w:w="0.0" w:type="dxa"/>
        <w:left w:w="115.0" w:type="dxa"/>
        <w:bottom w:w="0.0" w:type="dxa"/>
        <w:right w:w="115.0" w:type="dxa"/>
      </w:tblCellMar>
    </w:tblPr>
  </w:style>
  <w:style w:type="table" w:styleId="afff1" w:customStyle="1">
    <w:basedOn w:val="TableNormal1"/>
    <w:tblPr>
      <w:tblStyleRowBandSize w:val="1"/>
      <w:tblStyleColBandSize w:val="1"/>
      <w:tblCellMar>
        <w:top w:w="0.0" w:type="dxa"/>
        <w:left w:w="115.0" w:type="dxa"/>
        <w:bottom w:w="0.0" w:type="dxa"/>
        <w:right w:w="115.0" w:type="dxa"/>
      </w:tblCellMar>
    </w:tblPr>
  </w:style>
  <w:style w:type="table" w:styleId="afff2" w:customStyle="1">
    <w:basedOn w:val="TableNormal1"/>
    <w:tblPr>
      <w:tblStyleRowBandSize w:val="1"/>
      <w:tblStyleColBandSize w:val="1"/>
      <w:tblCellMar>
        <w:top w:w="0.0" w:type="dxa"/>
        <w:left w:w="115.0" w:type="dxa"/>
        <w:bottom w:w="0.0" w:type="dxa"/>
        <w:right w:w="115.0" w:type="dxa"/>
      </w:tblCellMar>
    </w:tblPr>
  </w:style>
  <w:style w:type="paragraph" w:styleId="CommentText">
    <w:name w:val="Comment Text"/>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val="1"/>
    <w:unhideWhenUsed w:val="1"/>
    <w:rPr>
      <w:sz w:val="16"/>
      <w:szCs w:val="16"/>
    </w:rPr>
  </w:style>
  <w:style w:type="paragraph" w:styleId="CommentSubject">
    <w:name w:val="Comment Subject"/>
    <w:basedOn w:val="CommentText"/>
    <w:next w:val="CommentText"/>
    <w:link w:val="CommentSubjectChar"/>
    <w:uiPriority w:val="99"/>
    <w:semiHidden w:val="1"/>
    <w:unhideWhenUsed w:val="1"/>
    <w:rsid w:val="005E6A75"/>
    <w:rPr>
      <w:b w:val="1"/>
      <w:bCs w:val="1"/>
    </w:rPr>
  </w:style>
  <w:style w:type="character" w:styleId="CommentSubjectChar" w:customStyle="1">
    <w:name w:val="Comment Subject Char"/>
    <w:basedOn w:val="CommentTextChar"/>
    <w:link w:val="CommentSubject"/>
    <w:uiPriority w:val="99"/>
    <w:semiHidden w:val="1"/>
    <w:rsid w:val="005E6A75"/>
    <w:rPr>
      <w:b w:val="1"/>
      <w:bCs w:val="1"/>
      <w:sz w:val="20"/>
      <w:szCs w:val="20"/>
    </w:rPr>
  </w:style>
  <w:style w:type="table" w:styleId="afff3" w:customStyle="1">
    <w:basedOn w:val="TableNormal1"/>
    <w:tblPr>
      <w:tblStyleRowBandSize w:val="1"/>
      <w:tblStyleColBandSize w:val="1"/>
      <w:tblCellMar>
        <w:top w:w="0.0" w:type="dxa"/>
        <w:left w:w="115.0" w:type="dxa"/>
        <w:bottom w:w="0.0" w:type="dxa"/>
        <w:right w:w="115.0" w:type="dxa"/>
      </w:tblCellMar>
    </w:tblPr>
  </w:style>
  <w:style w:type="table" w:styleId="afff4" w:customStyle="1">
    <w:basedOn w:val="TableNormal1"/>
    <w:tblPr>
      <w:tblStyleRowBandSize w:val="1"/>
      <w:tblStyleColBandSize w:val="1"/>
      <w:tblCellMar>
        <w:top w:w="0.0" w:type="dxa"/>
        <w:left w:w="115.0" w:type="dxa"/>
        <w:bottom w:w="0.0" w:type="dxa"/>
        <w:right w:w="115.0" w:type="dxa"/>
      </w:tblCellMar>
    </w:tblPr>
  </w:style>
  <w:style w:type="table" w:styleId="afff5" w:customStyle="1">
    <w:basedOn w:val="TableNormal1"/>
    <w:tblPr>
      <w:tblStyleRowBandSize w:val="1"/>
      <w:tblStyleColBandSize w:val="1"/>
      <w:tblCellMar>
        <w:top w:w="0.0" w:type="dxa"/>
        <w:left w:w="115.0" w:type="dxa"/>
        <w:bottom w:w="0.0" w:type="dxa"/>
        <w:right w:w="115.0" w:type="dxa"/>
      </w:tblCellMar>
    </w:tblPr>
  </w:style>
  <w:style w:type="table" w:styleId="afff6" w:customStyle="1">
    <w:basedOn w:val="TableNormal1"/>
    <w:tblPr>
      <w:tblStyleRowBandSize w:val="1"/>
      <w:tblStyleColBandSize w:val="1"/>
      <w:tblCellMar>
        <w:top w:w="0.0" w:type="dxa"/>
        <w:left w:w="0.0" w:type="dxa"/>
        <w:bottom w:w="0.0" w:type="dxa"/>
        <w:right w:w="0.0" w:type="dxa"/>
      </w:tblCellMar>
    </w:tblPr>
  </w:style>
  <w:style w:type="table" w:styleId="afff7" w:customStyle="1">
    <w:basedOn w:val="TableNormal1"/>
    <w:tblPr>
      <w:tblStyleRowBandSize w:val="1"/>
      <w:tblStyleColBandSize w:val="1"/>
      <w:tblCellMar>
        <w:top w:w="0.0" w:type="dxa"/>
        <w:left w:w="115.0" w:type="dxa"/>
        <w:bottom w:w="0.0" w:type="dxa"/>
        <w:right w:w="115.0" w:type="dxa"/>
      </w:tblCellMar>
    </w:tblPr>
  </w:style>
  <w:style w:type="table" w:styleId="afff8" w:customStyle="1">
    <w:basedOn w:val="TableNormal1"/>
    <w:tblPr>
      <w:tblStyleRowBandSize w:val="1"/>
      <w:tblStyleColBandSize w:val="1"/>
      <w:tblCellMar>
        <w:top w:w="0.0" w:type="dxa"/>
        <w:left w:w="115.0" w:type="dxa"/>
        <w:bottom w:w="0.0" w:type="dxa"/>
        <w:right w:w="115.0" w:type="dxa"/>
      </w:tblCellMar>
    </w:tblPr>
  </w:style>
  <w:style w:type="table" w:styleId="afff9" w:customStyle="1">
    <w:basedOn w:val="TableNormal1"/>
    <w:tblPr>
      <w:tblStyleRowBandSize w:val="1"/>
      <w:tblStyleColBandSize w:val="1"/>
      <w:tblCellMar>
        <w:top w:w="0.0" w:type="dxa"/>
        <w:left w:w="115.0" w:type="dxa"/>
        <w:bottom w:w="0.0" w:type="dxa"/>
        <w:right w:w="115.0" w:type="dxa"/>
      </w:tblCellMar>
    </w:tblPr>
  </w:style>
  <w:style w:type="table" w:styleId="afffa" w:customStyle="1">
    <w:basedOn w:val="TableNormal1"/>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ast-sos.org/documents-and-reports/" TargetMode="External"/><Relationship Id="rId10" Type="http://schemas.openxmlformats.org/officeDocument/2006/relationships/hyperlink" Target="https://east-sos.org/documents-and-reports/" TargetMode="External"/><Relationship Id="rId13" Type="http://schemas.openxmlformats.org/officeDocument/2006/relationships/hyperlink" Target="https://east-sos.org/documents-and-reports/" TargetMode="External"/><Relationship Id="rId12" Type="http://schemas.openxmlformats.org/officeDocument/2006/relationships/hyperlink" Target="https://east-sos.org/documents-and-repor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2cwLK4em24XqL+xZE6NYN4JB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50c3Q1OXJhYmNzaGgyDmguZDNuaDdtM2xrYW8yMg5oLmJjZHo1Z3g4aTVoeTIOaC53cGd4d2k0bGQzNGgyDmguOXVoYThzNW5qMzlhMg5oLjl2b3R1N2ZzanI1bTIOaC5vOTRqa3J1dHMyNTIyDmguM2oxODZrNXZpZG96Mg5oLnE1aWs0cjZnbWhiaDIOaC5icWpza242OHg5enI4AHIhMVZqUzhsRW81Yko2VkpkcnpTYzhycEZUOUFTRzBZbXp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2026-10-02T10:53:00Z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0x0101008EB5A824078C5D46B8B58E6D9B3F7730</vt:lpwstr>
  </property>
  <property fmtid="{D5CDD505-2E9C-101B-9397-08002B2CF9AE}" pid="3" name="MediaServiceImageTags">
    <vt:lpwstr/>
  </property>
</Properties>
</file>