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14.05.2026 р. </w:t>
      </w:r>
      <w:r w:rsidDel="00000000" w:rsidR="00000000" w:rsidRPr="00000000">
        <w:rPr>
          <w:rFonts w:ascii="Times New Roman" w:cs="Times New Roman" w:eastAsia="Times New Roman" w:hAnsi="Times New Roman"/>
          <w:sz w:val="24"/>
          <w:szCs w:val="24"/>
          <w:rtl w:val="0"/>
        </w:rPr>
        <w:t xml:space="preserve">                                                                                                        м.  Київ</w:t>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highlight w:val="cyan"/>
        </w:rPr>
      </w:pPr>
      <w:bookmarkStart w:colFirst="0" w:colLast="0" w:name="_heading=h.2et92p0" w:id="0"/>
      <w:bookmarkEnd w:id="0"/>
      <w:r w:rsidDel="00000000" w:rsidR="00000000" w:rsidRPr="00000000">
        <w:rPr>
          <w:rFonts w:ascii="Times New Roman" w:cs="Times New Roman" w:eastAsia="Times New Roman" w:hAnsi="Times New Roman"/>
          <w:b w:val="1"/>
          <w:bCs w:val="1"/>
          <w:sz w:val="24"/>
          <w:szCs w:val="24"/>
          <w:highlight w:val="white"/>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highlight w:val="white"/>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робіт з реконструкції будинку садибного типу з господарськими будівлями та спорудами для постійного або тимчасового проживання, що знаходяться за адресою: вулиця В. Стуса, 51, село Стоянів, Шептицького району, Львівської області</w:t>
      </w:r>
      <w:r w:rsidDel="00000000" w:rsidR="00000000" w:rsidRPr="00000000">
        <w:rPr>
          <w:rFonts w:ascii="Times New Roman" w:cs="Times New Roman" w:eastAsia="Times New Roman" w:hAnsi="Times New Roman"/>
          <w:b w:val="1"/>
          <w:bCs w:val="1"/>
          <w:sz w:val="24"/>
          <w:szCs w:val="24"/>
          <w:rtl w:val="0"/>
        </w:rPr>
        <w:t xml:space="preserve"> в рамках проєкту </w:t>
      </w:r>
      <w:r w:rsidDel="00000000" w:rsidR="00000000" w:rsidRPr="00000000">
        <w:rPr>
          <w:rFonts w:ascii="Times New Roman" w:cs="Times New Roman" w:eastAsia="Times New Roman" w:hAnsi="Times New Roman"/>
          <w:b w:val="1"/>
          <w:bCs w:val="1"/>
          <w:color w:val="131313"/>
          <w:sz w:val="24"/>
          <w:szCs w:val="24"/>
          <w:rtl w:val="0"/>
        </w:rPr>
        <w:t xml:space="preserve"> «Комплексна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80" w:before="18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spacing w:after="240" w:before="240" w:line="240" w:lineRule="auto"/>
        <w:ind w:firstLine="54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7">
      <w:pPr>
        <w:spacing w:line="312"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виконання робіт з реконструкції будинку садибного типу з господарськими будівлями та спорудами для постійного або тимчасового проживання, що знаходяться за адресою: вулиця В. Стуса, 51, село Стоянів, Шептицького району, Львівської області.</w:t>
      </w:r>
      <w:r w:rsidDel="00000000" w:rsidR="00000000" w:rsidRPr="00000000">
        <w:rPr>
          <w:rFonts w:ascii="Times New Roman" w:cs="Times New Roman" w:eastAsia="Times New Roman" w:hAnsi="Times New Roman"/>
          <w:sz w:val="24"/>
          <w:szCs w:val="24"/>
          <w:highlight w:val="cyan"/>
          <w:rtl w:val="0"/>
        </w:rPr>
        <w:t xml:space="preserve"> </w:t>
      </w:r>
    </w:p>
    <w:p w:rsidR="00000000" w:rsidDel="00000000" w:rsidP="00000000" w:rsidRDefault="00000000" w:rsidRPr="00000000" w14:paraId="00000008">
      <w:pPr>
        <w:spacing w:after="240" w:before="240" w:line="240" w:lineRule="auto"/>
        <w:jc w:val="both"/>
        <w:rPr>
          <w:rFonts w:ascii="Times New Roman" w:cs="Times New Roman" w:eastAsia="Times New Roman" w:hAnsi="Times New Roman"/>
          <w:color w:val="1f1f1f"/>
          <w:sz w:val="24"/>
          <w:szCs w:val="24"/>
          <w:highlight w:val="cyan"/>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hyperlink r:id="rId7">
        <w:r w:rsidDel="00000000" w:rsidR="00000000" w:rsidRPr="00000000">
          <w:rPr>
            <w:rFonts w:ascii="Times New Roman" w:cs="Times New Roman" w:eastAsia="Times New Roman" w:hAnsi="Times New Roman"/>
            <w:color w:val="1155cc"/>
            <w:sz w:val="24"/>
            <w:szCs w:val="24"/>
            <w:u w:val="single"/>
            <w:rtl w:val="0"/>
          </w:rPr>
          <w:t xml:space="preserve">«Положення про закупівлю товарів, робіт і послуг Благодійної організації «Благодійний Фонд «Схід-СОС»  </w:t>
        </w:r>
      </w:hyperlink>
      <w:r w:rsidDel="00000000" w:rsidR="00000000" w:rsidRPr="00000000">
        <w:rPr>
          <w:rtl w:val="0"/>
        </w:rPr>
      </w:r>
    </w:p>
    <w:p w:rsidR="00000000" w:rsidDel="00000000" w:rsidP="00000000" w:rsidRDefault="00000000" w:rsidRPr="00000000" w14:paraId="0000000A">
      <w:pPr>
        <w:spacing w:after="240" w:before="240" w:line="240" w:lineRule="auto"/>
        <w:ind w:firstLine="70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w:t>
      </w:r>
      <w:r w:rsidDel="00000000" w:rsidR="00000000" w:rsidRPr="00000000">
        <w:rPr>
          <w:rFonts w:ascii="Times New Roman" w:cs="Times New Roman" w:eastAsia="Times New Roman" w:hAnsi="Times New Roman"/>
          <w:b w:val="1"/>
          <w:bCs w:val="1"/>
          <w:sz w:val="24"/>
          <w:szCs w:val="24"/>
          <w:highlight w:val="white"/>
          <w:rtl w:val="0"/>
        </w:rPr>
        <w:t xml:space="preserve">6 місяців.</w:t>
      </w:r>
    </w:p>
    <w:p w:rsidR="00000000" w:rsidDel="00000000" w:rsidP="00000000" w:rsidRDefault="00000000" w:rsidRPr="00000000" w14:paraId="0000000B">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C">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Специфікації по наданню послуг з виконання робіт зазначені у </w:t>
      </w:r>
      <w:r w:rsidDel="00000000" w:rsidR="00000000" w:rsidRPr="00000000">
        <w:rPr>
          <w:rFonts w:ascii="Times New Roman" w:cs="Times New Roman" w:eastAsia="Times New Roman" w:hAnsi="Times New Roman"/>
          <w:b w:val="1"/>
          <w:bCs w:val="1"/>
          <w:sz w:val="24"/>
          <w:szCs w:val="24"/>
          <w:rtl w:val="0"/>
        </w:rPr>
        <w:t xml:space="preserve">Розділі 2.</w:t>
        <w:br w:type="textWrapping"/>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E">
      <w:pPr>
        <w:numPr>
          <w:ilvl w:val="0"/>
          <w:numId w:val="6"/>
        </w:numPr>
        <w:spacing w:before="120" w:lineRule="auto"/>
        <w:ind w:left="720" w:hanging="360"/>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Заявку на участь в тендері можуть подавати виключно юридичні особи в організаційно-правовій формі ТОВ або ПП та ФОП;</w:t>
      </w:r>
      <w:r w:rsidDel="00000000" w:rsidR="00000000" w:rsidRPr="00000000">
        <w:rPr>
          <w:rtl w:val="0"/>
        </w:rPr>
      </w:r>
    </w:p>
    <w:p w:rsidR="00000000" w:rsidDel="00000000" w:rsidP="00000000" w:rsidRDefault="00000000" w:rsidRPr="00000000" w14:paraId="0000000F">
      <w:pPr>
        <w:numPr>
          <w:ilvl w:val="0"/>
          <w:numId w:val="6"/>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10">
      <w:pPr>
        <w:numPr>
          <w:ilvl w:val="0"/>
          <w:numId w:val="6"/>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щодо обсягу виконаних проектів за останні 3 роки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проектів. </w:t>
      </w:r>
    </w:p>
    <w:p w:rsidR="00000000" w:rsidDel="00000000" w:rsidP="00000000" w:rsidRDefault="00000000" w:rsidRPr="00000000" w14:paraId="00000011">
      <w:pPr>
        <w:numPr>
          <w:ilvl w:val="0"/>
          <w:numId w:val="6"/>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2">
      <w:pPr>
        <w:numPr>
          <w:ilvl w:val="0"/>
          <w:numId w:val="6"/>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3">
      <w:pPr>
        <w:numPr>
          <w:ilvl w:val="0"/>
          <w:numId w:val="6"/>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4">
      <w:pPr>
        <w:numPr>
          <w:ilvl w:val="0"/>
          <w:numId w:val="6"/>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може надати копію сертифікату на систему управління інформаційною безпекою за ДСТУ ISO/IEC 27001:2023 (ISO/IEC 27001:2022, IDT) (за наявності);</w:t>
      </w:r>
    </w:p>
    <w:p w:rsidR="00000000" w:rsidDel="00000000" w:rsidP="00000000" w:rsidRDefault="00000000" w:rsidRPr="00000000" w14:paraId="00000015">
      <w:pPr>
        <w:numPr>
          <w:ilvl w:val="0"/>
          <w:numId w:val="6"/>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6">
      <w:pPr>
        <w:numPr>
          <w:ilvl w:val="0"/>
          <w:numId w:val="6"/>
        </w:numPr>
        <w:spacing w:after="120" w:before="12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Учасник надає заповнений Додаток 1.1 “Тендерна пропозиція”,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9">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B">
      <w:pPr>
        <w:spacing w:after="300" w:before="3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spacing w:after="130" w:before="390" w:line="360" w:lineRule="auto"/>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w:t>
      </w:r>
      <w:r w:rsidDel="00000000" w:rsidR="00000000" w:rsidRPr="00000000">
        <w:rPr>
          <w:rFonts w:ascii="Times New Roman" w:cs="Times New Roman" w:eastAsia="Times New Roman" w:hAnsi="Times New Roman"/>
          <w:b w:val="1"/>
          <w:bCs w:val="1"/>
          <w:color w:val="000000"/>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highlight w:val="white"/>
          <w:rtl w:val="0"/>
        </w:rPr>
        <w:t xml:space="preserve">:</w:t>
      </w:r>
    </w:p>
    <w:p w:rsidR="00000000" w:rsidDel="00000000" w:rsidP="00000000" w:rsidRDefault="00000000" w:rsidRPr="00000000" w14:paraId="0000001D">
      <w:pPr>
        <w:numPr>
          <w:ilvl w:val="0"/>
          <w:numId w:val="8"/>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E">
      <w:pPr>
        <w:numPr>
          <w:ilvl w:val="0"/>
          <w:numId w:val="8"/>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1F">
      <w:pPr>
        <w:numPr>
          <w:ilvl w:val="0"/>
          <w:numId w:val="8"/>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установчого документу ТОВ (Статут);</w:t>
      </w:r>
    </w:p>
    <w:p w:rsidR="00000000" w:rsidDel="00000000" w:rsidP="00000000" w:rsidRDefault="00000000" w:rsidRPr="00000000" w14:paraId="00000020">
      <w:pPr>
        <w:numPr>
          <w:ilvl w:val="0"/>
          <w:numId w:val="8"/>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підписанта (протокол, наказ про призначення);</w:t>
      </w:r>
    </w:p>
    <w:p w:rsidR="00000000" w:rsidDel="00000000" w:rsidP="00000000" w:rsidRDefault="00000000" w:rsidRPr="00000000" w14:paraId="00000021">
      <w:pPr>
        <w:numPr>
          <w:ilvl w:val="0"/>
          <w:numId w:val="8"/>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(попередній звітний період);</w:t>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30" w:before="390" w:line="360" w:lineRule="auto"/>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Для Фізичних осіб-підприємців:</w:t>
      </w:r>
    </w:p>
    <w:p w:rsidR="00000000" w:rsidDel="00000000" w:rsidP="00000000" w:rsidRDefault="00000000" w:rsidRPr="00000000" w14:paraId="00000023">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p>
    <w:p w:rsidR="00000000" w:rsidDel="00000000" w:rsidP="00000000" w:rsidRDefault="00000000" w:rsidRPr="00000000" w14:paraId="00000024">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5">
      <w:pPr>
        <w:numPr>
          <w:ilvl w:val="0"/>
          <w:numId w:val="7"/>
        </w:numPr>
        <w:spacing w:line="36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Копія діючої ліцензії на будівництво (за наявності);</w:t>
      </w:r>
    </w:p>
    <w:p w:rsidR="00000000" w:rsidDel="00000000" w:rsidP="00000000" w:rsidRDefault="00000000" w:rsidRPr="00000000" w14:paraId="00000026">
      <w:pPr>
        <w:numPr>
          <w:ilvl w:val="0"/>
          <w:numId w:val="7"/>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7">
      <w:pPr>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слід надати в одному </w:t>
      </w:r>
      <w:r w:rsidDel="00000000" w:rsidR="00000000" w:rsidRPr="00000000">
        <w:rPr>
          <w:rFonts w:ascii="Times New Roman" w:cs="Times New Roman" w:eastAsia="Times New Roman" w:hAnsi="Times New Roman"/>
          <w:sz w:val="24"/>
          <w:szCs w:val="24"/>
          <w:rtl w:val="0"/>
        </w:rPr>
        <w:t xml:space="preserve">примірнику</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до 18:00 </w:t>
      </w:r>
      <w:r w:rsidDel="00000000" w:rsidR="00000000" w:rsidRPr="00000000">
        <w:rPr>
          <w:rFonts w:ascii="Times New Roman" w:cs="Times New Roman" w:eastAsia="Times New Roman" w:hAnsi="Times New Roman"/>
          <w:sz w:val="24"/>
          <w:szCs w:val="24"/>
          <w:highlight w:val="white"/>
          <w:rtl w:val="0"/>
        </w:rPr>
        <w:t xml:space="preserve">27 травня </w:t>
      </w:r>
      <w:r w:rsidDel="00000000" w:rsidR="00000000" w:rsidRPr="00000000">
        <w:rPr>
          <w:rFonts w:ascii="Times New Roman" w:cs="Times New Roman" w:eastAsia="Times New Roman" w:hAnsi="Times New Roman"/>
          <w:color w:val="000000"/>
          <w:sz w:val="24"/>
          <w:szCs w:val="24"/>
          <w:highlight w:val="white"/>
          <w:rtl w:val="0"/>
        </w:rPr>
        <w:t xml:space="preserve">202</w:t>
      </w:r>
      <w:r w:rsidDel="00000000" w:rsidR="00000000" w:rsidRPr="00000000">
        <w:rPr>
          <w:rFonts w:ascii="Times New Roman" w:cs="Times New Roman" w:eastAsia="Times New Roman" w:hAnsi="Times New Roman"/>
          <w:sz w:val="24"/>
          <w:szCs w:val="24"/>
          <w:highlight w:val="white"/>
          <w:rtl w:val="0"/>
        </w:rPr>
        <w:t xml:space="preserve">6</w:t>
      </w:r>
      <w:r w:rsidDel="00000000" w:rsidR="00000000" w:rsidRPr="00000000">
        <w:rPr>
          <w:rFonts w:ascii="Times New Roman" w:cs="Times New Roman" w:eastAsia="Times New Roman" w:hAnsi="Times New Roman"/>
          <w:color w:val="000000"/>
          <w:sz w:val="24"/>
          <w:szCs w:val="24"/>
          <w:highlight w:val="white"/>
          <w:rtl w:val="0"/>
        </w:rPr>
        <w:t xml:space="preserve"> року </w:t>
      </w:r>
      <w:r w:rsidDel="00000000" w:rsidR="00000000" w:rsidRPr="00000000">
        <w:rPr>
          <w:rFonts w:ascii="Times New Roman" w:cs="Times New Roman" w:eastAsia="Times New Roman" w:hAnsi="Times New Roman"/>
          <w:color w:val="000000"/>
          <w:sz w:val="24"/>
          <w:szCs w:val="24"/>
          <w:rtl w:val="0"/>
        </w:rPr>
        <w:t xml:space="preserve">в паперовому вигляді поштою, або особисто в запечатаному конверті з маркуванням </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Тендер </w:t>
      </w:r>
      <w:r w:rsidDel="00000000" w:rsidR="00000000" w:rsidRPr="00000000">
        <w:rPr>
          <w:rFonts w:ascii="Times New Roman" w:cs="Times New Roman" w:eastAsia="Times New Roman" w:hAnsi="Times New Roman"/>
          <w:b w:val="1"/>
          <w:bCs w:val="1"/>
          <w:color w:val="131313"/>
          <w:sz w:val="24"/>
          <w:szCs w:val="24"/>
          <w:rtl w:val="0"/>
        </w:rPr>
        <w:t xml:space="preserve">на виконання робіт з реконструкції будинку садибного типу з господарськими будівлями та спорудами для постійного або тимчасового проживання, що знаходяться за адресою: вулиця В. Стуса, 51, село Стоянів, Шептицького району, Львівської області</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+3800974666086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+380974666086.</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До пропозиції слід додати електронний носій (флешку) з копією кошторису в електронному вигляді в форматі програми АВК, або посилання на цю документацію в хмарному сховищі.</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Учасники можуть здійснити відвідування об’єкта 18 та 19 травня 2026 року за умови обов’язкового попереднього повідомлення про намір виїзду на об’єкт (написавши на електронну адресу: o.kariavka@east-sos.org  або зателефонувавши за номером +380974666086). Відвідування об’єкта кожним учасником в індивідуальному порядку забороняється.</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31">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Уставні, дозвільні документи та фінансову звітність;</w:t>
      </w:r>
    </w:p>
    <w:p w:rsidR="00000000" w:rsidDel="00000000" w:rsidP="00000000" w:rsidRDefault="00000000" w:rsidRPr="00000000" w14:paraId="00000033">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4">
      <w:pPr>
        <w:numPr>
          <w:ilvl w:val="0"/>
          <w:numId w:val="1"/>
        </w:numPr>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Інформацію щодо обсягу виконаних проєктів за останні 3 роки;</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(тендерна пропозиція);</w:t>
      </w:r>
      <w:r w:rsidDel="00000000" w:rsidR="00000000" w:rsidRPr="00000000">
        <w:rPr>
          <w:rtl w:val="0"/>
        </w:rPr>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надаються в паперовому вигляді з підписом та печаткою. До пропозиції слід додати електронний носій (флешку) з копією кошторису в електронному вигляді в форматі imd, або посилання на цю документацію в хмарному сховищі.;</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 Графік виконання робіт (у довільній деталізованій формі);</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 Лист-роз'яснення умов гарантійних термінів на виконання робіт;</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highlight w:val="white"/>
          <w:rtl w:val="0"/>
        </w:rPr>
        <w:t xml:space="preserve">(за наявності)</w:t>
      </w:r>
      <w:r w:rsidDel="00000000" w:rsidR="00000000" w:rsidRPr="00000000">
        <w:rPr>
          <w:rFonts w:ascii="Times New Roman" w:cs="Times New Roman" w:eastAsia="Times New Roman" w:hAnsi="Times New Roman"/>
          <w:sz w:val="24"/>
          <w:szCs w:val="24"/>
          <w:highlight w:val="white"/>
          <w:rtl w:val="0"/>
        </w:rPr>
        <w:t xml:space="preserve"> уповноваженої особи</w:t>
      </w:r>
      <w:r w:rsidDel="00000000" w:rsidR="00000000" w:rsidRPr="00000000">
        <w:rPr>
          <w:rFonts w:ascii="Times New Roman" w:cs="Times New Roman" w:eastAsia="Times New Roman" w:hAnsi="Times New Roman"/>
          <w:b w:val="1"/>
          <w:bCs w:val="1"/>
          <w:sz w:val="24"/>
          <w:szCs w:val="24"/>
          <w:highlight w:val="white"/>
          <w:rtl w:val="0"/>
        </w:rPr>
        <w:t xml:space="preserve">.</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Зверніть увагу!</w:t>
      </w:r>
    </w:p>
    <w:p w:rsidR="00000000" w:rsidDel="00000000" w:rsidP="00000000" w:rsidRDefault="00000000" w:rsidRPr="00000000" w14:paraId="0000003B">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Підрядник виконує роботи відповідно до затвердженої кошторисної документації, будівельних норм і правил, а також графіків виконання робіт.</w:t>
      </w:r>
    </w:p>
    <w:p w:rsidR="00000000" w:rsidDel="00000000" w:rsidP="00000000" w:rsidRDefault="00000000" w:rsidRPr="00000000" w14:paraId="0000003C">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Вартість робіт визначається на основі </w:t>
      </w:r>
      <w:r w:rsidDel="00000000" w:rsidR="00000000" w:rsidRPr="00000000">
        <w:rPr>
          <w:rFonts w:ascii="Times New Roman" w:cs="Times New Roman" w:eastAsia="Times New Roman" w:hAnsi="Times New Roman"/>
          <w:b w:val="1"/>
          <w:bCs w:val="1"/>
          <w:sz w:val="24"/>
          <w:szCs w:val="24"/>
          <w:highlight w:val="white"/>
          <w:rtl w:val="0"/>
        </w:rPr>
        <w:t xml:space="preserve">твердої договірної ціни</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D">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Додаткові роботи, що можуть виникнути під час виконання робіт і не передбачені кошторисною документацією, </w:t>
      </w:r>
      <w:r w:rsidDel="00000000" w:rsidR="00000000" w:rsidRPr="00000000">
        <w:rPr>
          <w:rFonts w:ascii="Times New Roman" w:cs="Times New Roman" w:eastAsia="Times New Roman" w:hAnsi="Times New Roman"/>
          <w:b w:val="1"/>
          <w:bCs w:val="1"/>
          <w:sz w:val="24"/>
          <w:szCs w:val="24"/>
          <w:highlight w:val="white"/>
          <w:rtl w:val="0"/>
        </w:rPr>
        <w:t xml:space="preserve">не оплачуються</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3E">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 час визначення вартості виконаних обсягів робіт та проведення взаєморозрахунків за виконані роботи по об’єкту застосовуються первинні облікові документи:</w:t>
      </w:r>
    </w:p>
    <w:p w:rsidR="00000000" w:rsidDel="00000000" w:rsidP="00000000" w:rsidRDefault="00000000" w:rsidRPr="00000000" w14:paraId="0000003F">
      <w:pPr>
        <w:numPr>
          <w:ilvl w:val="0"/>
          <w:numId w:val="9"/>
        </w:numPr>
        <w:spacing w:before="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«Акт приймання виконаних будівельних робіт» (форма № КБ-2в);</w:t>
        <w:br w:type="textWrapping"/>
      </w:r>
      <w:r w:rsidDel="00000000" w:rsidR="00000000" w:rsidRPr="00000000">
        <w:rPr>
          <w:rtl w:val="0"/>
        </w:rPr>
      </w:r>
    </w:p>
    <w:p w:rsidR="00000000" w:rsidDel="00000000" w:rsidP="00000000" w:rsidRDefault="00000000" w:rsidRPr="00000000" w14:paraId="00000040">
      <w:pPr>
        <w:numPr>
          <w:ilvl w:val="0"/>
          <w:numId w:val="9"/>
        </w:numPr>
        <w:spacing w:after="240"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«Довідка про вартість виконаних будівельних робіт та витрати» (форма № КБ-3).</w:t>
      </w:r>
      <w:r w:rsidDel="00000000" w:rsidR="00000000" w:rsidRPr="00000000">
        <w:rPr>
          <w:rtl w:val="0"/>
        </w:rPr>
      </w:r>
    </w:p>
    <w:p w:rsidR="00000000" w:rsidDel="00000000" w:rsidP="00000000" w:rsidRDefault="00000000" w:rsidRPr="00000000" w14:paraId="00000041">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Первинна оцінка виконується по загальній вартості пропозиції.</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5">
      <w:pPr>
        <w:numPr>
          <w:ilvl w:val="0"/>
          <w:numId w:val="5"/>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Загальна вартість пропозиції - 30%. </w:t>
      </w:r>
    </w:p>
    <w:p w:rsidR="00000000" w:rsidDel="00000000" w:rsidP="00000000" w:rsidRDefault="00000000" w:rsidRPr="00000000" w14:paraId="00000046">
      <w:pPr>
        <w:numPr>
          <w:ilvl w:val="0"/>
          <w:numId w:val="5"/>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Якість виконаних робіт та гарантійний термін на них - 20%,</w:t>
      </w:r>
    </w:p>
    <w:p w:rsidR="00000000" w:rsidDel="00000000" w:rsidP="00000000" w:rsidRDefault="00000000" w:rsidRPr="00000000" w14:paraId="00000047">
      <w:pPr>
        <w:numPr>
          <w:ilvl w:val="0"/>
          <w:numId w:val="5"/>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Кількість залучених робітників та наявність матеріально-технічної бази - 20%,</w:t>
      </w:r>
    </w:p>
    <w:p w:rsidR="00000000" w:rsidDel="00000000" w:rsidP="00000000" w:rsidRDefault="00000000" w:rsidRPr="00000000" w14:paraId="00000048">
      <w:pPr>
        <w:numPr>
          <w:ilvl w:val="0"/>
          <w:numId w:val="5"/>
        </w:numPr>
        <w:spacing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Термін виконання - 20%,</w:t>
      </w:r>
    </w:p>
    <w:p w:rsidR="00000000" w:rsidDel="00000000" w:rsidP="00000000" w:rsidRDefault="00000000" w:rsidRPr="00000000" w14:paraId="00000049">
      <w:pPr>
        <w:numPr>
          <w:ilvl w:val="0"/>
          <w:numId w:val="5"/>
        </w:numPr>
        <w:spacing w:after="160" w:line="259" w:lineRule="auto"/>
        <w:ind w:left="720" w:hanging="48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Рекомендації (досвід виконаних робіт за останні 3 роки) - 10%.</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B">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Тендер вважається таким, що відбувся, при наявності від однієї пропозиції.</w:t>
      </w:r>
      <w:r w:rsidDel="00000000" w:rsidR="00000000" w:rsidRPr="00000000">
        <w:rPr>
          <w:rtl w:val="0"/>
        </w:rPr>
      </w:r>
    </w:p>
    <w:bookmarkStart w:colFirst="0" w:colLast="0" w:name="bookmark=id.2s8eyo1" w:id="1"/>
    <w:bookmarkEnd w:id="1"/>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r w:rsidDel="00000000" w:rsidR="00000000" w:rsidRPr="00000000">
        <w:rPr>
          <w:rtl w:val="0"/>
        </w:rPr>
      </w:r>
    </w:p>
    <w:p w:rsidR="00000000" w:rsidDel="00000000" w:rsidP="00000000" w:rsidRDefault="00000000" w:rsidRPr="00000000" w14:paraId="0000004E">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4F">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0">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1">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2">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tl w:val="0"/>
        </w:rPr>
      </w:r>
    </w:p>
    <w:p w:rsidR="00000000" w:rsidDel="00000000" w:rsidP="00000000" w:rsidRDefault="00000000" w:rsidRPr="00000000" w14:paraId="00000053">
      <w:pPr>
        <w:spacing w:after="240" w:before="240" w:line="240" w:lineRule="auto"/>
        <w:ind w:firstLine="540"/>
        <w:jc w:val="center"/>
        <w:rPr>
          <w:rFonts w:ascii="Times New Roman" w:cs="Times New Roman" w:eastAsia="Times New Roman" w:hAnsi="Times New Roman"/>
          <w:b w:val="1"/>
          <w:bCs w:val="1"/>
          <w:sz w:val="24"/>
          <w:szCs w:val="24"/>
          <w:highlight w:val="cyan"/>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Розділ 2: Специфікаці</w:t>
      </w:r>
      <w:r w:rsidDel="00000000" w:rsidR="00000000" w:rsidRPr="00000000">
        <w:rPr>
          <w:rFonts w:ascii="Times New Roman" w:cs="Times New Roman" w:eastAsia="Times New Roman" w:hAnsi="Times New Roman"/>
          <w:b w:val="1"/>
          <w:bCs w:val="1"/>
          <w:sz w:val="24"/>
          <w:szCs w:val="24"/>
          <w:u w:val="single"/>
          <w:rtl w:val="0"/>
        </w:rPr>
        <w:t xml:space="preserve">я на виконання робіт з реконструкції будинку садибного типу з господарськими будівлями та спорудами для постійного або тимчасового проживання, що знаходяться за адресою: вулиця В. Стуса, 51, село Стоянів, Шептицького району, Львівської області в рамках проєкту  «</w:t>
      </w:r>
      <w:r w:rsidDel="00000000" w:rsidR="00000000" w:rsidRPr="00000000">
        <w:rPr>
          <w:rFonts w:ascii="Times New Roman" w:cs="Times New Roman" w:eastAsia="Times New Roman" w:hAnsi="Times New Roman"/>
          <w:b w:val="1"/>
          <w:bCs w:val="1"/>
          <w:color w:val="131313"/>
          <w:rtl w:val="0"/>
        </w:rPr>
        <w:t xml:space="preserve">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54">
      <w:pPr>
        <w:keepNext w:val="1"/>
        <w:keepLines w:val="1"/>
        <w:pBdr>
          <w:top w:space="0" w:sz="0" w:val="nil"/>
          <w:left w:space="0" w:sz="0" w:val="nil"/>
          <w:bottom w:space="0" w:sz="0" w:val="nil"/>
          <w:right w:space="0" w:sz="0" w:val="nil"/>
          <w:between w:space="0" w:sz="0" w:val="nil"/>
        </w:pBdr>
        <w:spacing w:after="120" w:before="36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1. </w:t>
      </w:r>
      <w:r w:rsidDel="00000000" w:rsidR="00000000" w:rsidRPr="00000000">
        <w:rPr>
          <w:rFonts w:ascii="Times New Roman" w:cs="Times New Roman" w:eastAsia="Times New Roman" w:hAnsi="Times New Roman"/>
          <w:b w:val="1"/>
          <w:bCs w:val="1"/>
          <w:sz w:val="24"/>
          <w:szCs w:val="24"/>
          <w:highlight w:val="white"/>
          <w:rtl w:val="0"/>
        </w:rPr>
        <w:t xml:space="preserve">Загальна і</w:t>
      </w:r>
      <w:r w:rsidDel="00000000" w:rsidR="00000000" w:rsidRPr="00000000">
        <w:rPr>
          <w:rFonts w:ascii="Times New Roman" w:cs="Times New Roman" w:eastAsia="Times New Roman" w:hAnsi="Times New Roman"/>
          <w:b w:val="1"/>
          <w:bCs w:val="1"/>
          <w:color w:val="000000"/>
          <w:sz w:val="24"/>
          <w:szCs w:val="24"/>
          <w:highlight w:val="white"/>
          <w:rtl w:val="0"/>
        </w:rPr>
        <w:t xml:space="preserve">нформація про об’єкт</w:t>
      </w: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Проектною документацією передбачено реконструкцію будинку садибного типу з господарськими будівлями та спорудами для постійного або тимчасового проживання, розташованого за адресою: вулиця В. Стуса, 51, село Стоянів, Шептицького району, Львівської області.</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Загальні характеристики про будівлю:</w:t>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Поверховість (поверх) - одноповерхова.</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Загальна площа будівлі (м2) – 435,03 м.кв.</w:t>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Рік введення будинку в експлуатацію - 1910 р.</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2. Мета проєкту</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робіт з реконструкції будинку садибного типу з господарськими будівлями та спорудами для постійного або тимчасового проживання, розташованого за адресою: вулиця В. Стуса, 51, село Стоянів, Шептицького району, Львівської області.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3.</w:t>
      </w:r>
      <w:r w:rsidDel="00000000" w:rsidR="00000000" w:rsidRPr="00000000">
        <w:rPr>
          <w:rFonts w:ascii="Times New Roman" w:cs="Times New Roman" w:eastAsia="Times New Roman" w:hAnsi="Times New Roman"/>
          <w:b w:val="1"/>
          <w:bCs w:val="1"/>
          <w:sz w:val="24"/>
          <w:szCs w:val="24"/>
          <w:rtl w:val="0"/>
        </w:rPr>
        <w:t xml:space="preserve"> Вихідні дані: </w:t>
      </w:r>
    </w:p>
    <w:p w:rsidR="00000000" w:rsidDel="00000000" w:rsidP="00000000" w:rsidRDefault="00000000" w:rsidRPr="00000000" w14:paraId="0000005F">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x6yl38x0iqzg"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1.2. Дефектний акт на загальнобудівельні роботи</w:t>
        <w:tab/>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1.3. Дефектний акт на електропостачання та електроосвітлення</w:t>
        <w:tab/>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1.4. Дефектний акт на опалення та вентиляцію</w:t>
        <w:tab/>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1.5. Дефектний акт на водопостачання та  каналізацію</w:t>
        <w:tab/>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1.6. Дефектний акт на системи блискавкозахисту,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1.7. Дефектний акт на системи пожежної сигналізації, оповіщення про пожежу та управління евакуацією людей при пожежі</w:t>
        <w:tab/>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1.8. Дефектний акт на слабкострумні кабельні системи </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1.9. Дефектний акт на та охоронну сигналізацію</w:t>
        <w:tab/>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1.10. Дефектний акт на пусконалагоджувальні роботи систем вентиляції</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1.11. Дефектний акт на пусконалагоджувальні роботи систем пожежної та охоронної сигналізації</w:t>
        <w:tab/>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te4oyh5m3mux"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1.12. Фотоматеріали</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Додаток 1.13 Проектна документація</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Макет договірної ціни (порожньої) в програмі АВК-5 може бути наданий за запитом учасника</w:t>
      </w:r>
    </w:p>
    <w:p w:rsidR="00000000" w:rsidDel="00000000" w:rsidP="00000000" w:rsidRDefault="00000000" w:rsidRPr="00000000" w14:paraId="0000006E">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4. Термін виконання робіт </w:t>
      </w:r>
    </w:p>
    <w:p w:rsidR="00000000" w:rsidDel="00000000" w:rsidP="00000000" w:rsidRDefault="00000000" w:rsidRPr="00000000" w14:paraId="00000070">
      <w:pPr>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Виконання робіт повинно відбутися у термін до 6 місяців.</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before="240" w:lineRule="auto"/>
        <w:ind w:left="284" w:hanging="284"/>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color w:val="000000"/>
          <w:sz w:val="24"/>
          <w:szCs w:val="24"/>
          <w:rtl w:val="0"/>
        </w:rPr>
        <w:t xml:space="preserve">Основні вимоги:</w:t>
      </w:r>
      <w:r w:rsidDel="00000000" w:rsidR="00000000" w:rsidRPr="00000000">
        <w:rPr>
          <w:rtl w:val="0"/>
        </w:rPr>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Всі матеріали та вироби, які будуть використані при виконанні ремонтних робіт повинні відповідати державним стандартам, якості та призначенню. Також матеріали мають відповідати вимогам екологічної та пожежної безпеки чинних державних будівельних норм.</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Матеріали та вироби, їх розміщення і т.п. в санітарних вузлах має відбуватись відповідно до ДБН В.2.2-40:2018 Інклюзивність будівель і споруд. Основні положення.</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Для матеріалів та обладнання рекомендується </w:t>
      </w:r>
      <w:r w:rsidDel="00000000" w:rsidR="00000000" w:rsidRPr="00000000">
        <w:rPr>
          <w:rFonts w:ascii="Times New Roman" w:cs="Times New Roman" w:eastAsia="Times New Roman" w:hAnsi="Times New Roman"/>
          <w:sz w:val="24"/>
          <w:szCs w:val="24"/>
          <w:highlight w:val="white"/>
          <w:rtl w:val="0"/>
        </w:rPr>
        <w:t xml:space="preserve">вказувати</w:t>
      </w:r>
      <w:r w:rsidDel="00000000" w:rsidR="00000000" w:rsidRPr="00000000">
        <w:rPr>
          <w:rFonts w:ascii="Times New Roman" w:cs="Times New Roman" w:eastAsia="Times New Roman" w:hAnsi="Times New Roman"/>
          <w:color w:val="000000"/>
          <w:sz w:val="24"/>
          <w:szCs w:val="24"/>
          <w:highlight w:val="white"/>
          <w:rtl w:val="0"/>
        </w:rPr>
        <w:t xml:space="preserve"> у договірній ціні їх виробника/типи/марки/моделі для чіткої їх ідентифікації під час розгляду конкурсних пропозицій.</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Матеріали та обладнання, зазначені у запропонованій договірній ціні, повинні бути доступні на ринку України.</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Виконання всіх видів робіт повинно виконуватися з суворим дотриманням техніки безпеки та охорони праці робітників.</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Підрядник повинен мати у своєму розпорядженні достатню кількість персоналу, інструменту для виконання робіт. Також підрядник має мати засоби для безперебійної роботи в умовах відсутності електроенергії (генератори, зарядні станції і т.п.). Наявність відзначеного підрядник підтверджує у вигляді гарантійного листа.</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160" w:line="259" w:lineRule="auto"/>
        <w:ind w:left="720"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Всі демонтовані матеріали та вироби підрядник утилізує самостійно дотримуючись вимог чинних державних норм.</w:t>
      </w:r>
    </w:p>
    <w:p w:rsidR="00000000" w:rsidDel="00000000" w:rsidP="00000000" w:rsidRDefault="00000000" w:rsidRPr="00000000" w14:paraId="00000079">
      <w:pPr>
        <w:spacing w:line="240" w:lineRule="auto"/>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6. Гарантійні зобов’язання</w:t>
      </w:r>
    </w:p>
    <w:p w:rsidR="00000000" w:rsidDel="00000000" w:rsidP="00000000" w:rsidRDefault="00000000" w:rsidRPr="00000000" w14:paraId="0000007B">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Підрядник зобов’язується надати гарантію на виконані роботи строком не менше 5 (п’яти) років. Гарантія має включати відповідальність за приховані дефекти, що виникли з вини виконавця або недоліків використаних матеріалів. Підрядник зобов’язується надати лист-роз’яснення з обґрунтуванням  гарантійного терміну (у тому числі у випадку неможливості надання зазначеного гарантійного терміну). </w:t>
      </w:r>
      <w:r w:rsidDel="00000000" w:rsidR="00000000" w:rsidRPr="00000000">
        <w:rPr>
          <w:rtl w:val="0"/>
        </w:rPr>
      </w:r>
    </w:p>
    <w:p w:rsidR="00000000" w:rsidDel="00000000" w:rsidP="00000000" w:rsidRDefault="00000000" w:rsidRPr="00000000" w14:paraId="0000007C">
      <w:pPr>
        <w:spacing w:after="240" w:before="240" w:lineRule="auto"/>
        <w:rPr>
          <w:rFonts w:ascii="Times New Roman" w:cs="Times New Roman" w:eastAsia="Times New Roman" w:hAnsi="Times New Roman"/>
          <w:sz w:val="24"/>
          <w:szCs w:val="24"/>
          <w:shd w:fill="f4cccc" w:val="clear"/>
        </w:rPr>
      </w:pPr>
      <w:bookmarkStart w:colFirst="0" w:colLast="0" w:name="_heading=h.elugzxmb7rz9" w:id="4"/>
      <w:bookmarkEnd w:id="4"/>
      <w:r w:rsidDel="00000000" w:rsidR="00000000" w:rsidRPr="00000000">
        <w:rPr>
          <w:rtl w:val="0"/>
        </w:rPr>
      </w:r>
    </w:p>
    <w:p w:rsidR="00000000" w:rsidDel="00000000" w:rsidP="00000000" w:rsidRDefault="00000000" w:rsidRPr="00000000" w14:paraId="0000007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7E">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p>
    <w:p w:rsidR="00000000" w:rsidDel="00000000" w:rsidP="00000000" w:rsidRDefault="00000000" w:rsidRPr="00000000" w14:paraId="0000007F">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0">
      <w:pPr>
        <w:spacing w:after="240" w:before="240" w:line="240" w:lineRule="auto"/>
        <w:ind w:firstLine="700"/>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1">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2">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3">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4">
      <w:pPr>
        <w:spacing w:after="240" w:before="240" w:line="240" w:lineRule="auto"/>
        <w:jc w:val="both"/>
        <w:rPr>
          <w:rFonts w:ascii="Times New Roman" w:cs="Times New Roman" w:eastAsia="Times New Roman" w:hAnsi="Times New Roman"/>
          <w:b w:val="1"/>
          <w:bCs w:val="1"/>
          <w:color w:val="1f1f1f"/>
          <w:sz w:val="24"/>
          <w:szCs w:val="24"/>
        </w:rPr>
      </w:pPr>
      <w:r w:rsidDel="00000000" w:rsidR="00000000" w:rsidRPr="00000000">
        <w:rPr>
          <w:rtl w:val="0"/>
        </w:rPr>
      </w:r>
    </w:p>
    <w:p w:rsidR="00000000" w:rsidDel="00000000" w:rsidP="00000000" w:rsidRDefault="00000000" w:rsidRPr="00000000" w14:paraId="0000008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6">
      <w:pPr>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087">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ТЕНДЕРНА ПРОПОЗИЦІЯ</w:t>
      </w:r>
    </w:p>
    <w:p w:rsidR="00000000" w:rsidDel="00000000" w:rsidP="00000000" w:rsidRDefault="00000000" w:rsidRPr="00000000" w14:paraId="00000088">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89">
      <w:pPr>
        <w:spacing w:after="240" w:before="240" w:line="240" w:lineRule="auto"/>
        <w:jc w:val="both"/>
        <w:rPr>
          <w:rFonts w:ascii="Times New Roman" w:cs="Times New Roman" w:eastAsia="Times New Roman" w:hAnsi="Times New Roman"/>
          <w:color w:val="1f1f1f"/>
          <w:sz w:val="24"/>
          <w:szCs w:val="24"/>
        </w:rPr>
      </w:pPr>
      <w:bookmarkStart w:colFirst="0" w:colLast="0" w:name="_heading=h.30j0zll" w:id="5"/>
      <w:bookmarkEnd w:id="5"/>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виконання робіт з реконструкції будинку садибного типу з господарськими будівлями та спорудами для постійного або тимчасового проживання, що знаходяться за адресою: вулиця В. Стуса, 51, село Стоянів, Шептицького району, Львівської області в рамках проєкту  «Комплексна всебічна підтримка та захист вразливих категорій евакуйованих осіб», який реалізується в рамках партнерської угоди № CBPF-UKR-25-S-NGO-34892 укладеної 15.05.2025 року за фінансової підтримки Гуманітарного фонду України (UHF) </w:t>
      </w: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blHeader w:val="0"/>
        </w:trPr>
        <w:tc>
          <w:tcPr>
            <w:vMerge w:val="restart"/>
          </w:tcPr>
          <w:p w:rsidR="00000000" w:rsidDel="00000000" w:rsidP="00000000" w:rsidRDefault="00000000" w:rsidRPr="00000000" w14:paraId="0000008A">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8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tc>
      </w:tr>
      <w:tr>
        <w:trPr>
          <w:cantSplit w:val="0"/>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tc>
      </w:tr>
      <w:tr>
        <w:trPr>
          <w:cantSplit w:val="0"/>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tc>
      </w:tr>
      <w:tr>
        <w:trPr>
          <w:cantSplit w:val="0"/>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p w:rsidR="00000000" w:rsidDel="00000000" w:rsidP="00000000" w:rsidRDefault="00000000" w:rsidRPr="00000000" w14:paraId="00000096">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96" w:hRule="atLeast"/>
          <w:tblHeader w:val="0"/>
        </w:trPr>
        <w:tc>
          <w:tcPr/>
          <w:p w:rsidR="00000000" w:rsidDel="00000000" w:rsidP="00000000" w:rsidRDefault="00000000" w:rsidRPr="00000000" w14:paraId="00000097">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br w:type="textWrapping"/>
            </w:r>
          </w:p>
        </w:tc>
      </w:tr>
      <w:tr>
        <w:trPr>
          <w:cantSplit w:val="0"/>
          <w:tblHeader w:val="0"/>
        </w:trPr>
        <w:tc>
          <w:tcPr/>
          <w:p w:rsidR="00000000" w:rsidDel="00000000" w:rsidP="00000000" w:rsidRDefault="00000000" w:rsidRPr="00000000" w14:paraId="0000009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9C">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9E">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A2">
      <w:pPr>
        <w:spacing w:before="240" w:lineRule="auto"/>
        <w:rPr>
          <w:rFonts w:ascii="Times New Roman" w:cs="Times New Roman" w:eastAsia="Times New Roman" w:hAnsi="Times New Roman"/>
          <w:b w:val="1"/>
          <w:bCs w:val="1"/>
          <w:sz w:val="24"/>
          <w:szCs w:val="24"/>
        </w:rPr>
      </w:pPr>
      <w:bookmarkStart w:colFirst="0" w:colLast="0" w:name="_heading=h.q6wrfvpc5gs1" w:id="6"/>
      <w:bookmarkEnd w:id="6"/>
      <w:r w:rsidDel="00000000" w:rsidR="00000000" w:rsidRPr="00000000">
        <w:rPr>
          <w:rtl w:val="0"/>
        </w:rPr>
      </w:r>
    </w:p>
    <w:p w:rsidR="00000000" w:rsidDel="00000000" w:rsidP="00000000" w:rsidRDefault="00000000" w:rsidRPr="00000000" w14:paraId="000000A3">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spacing w:befor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6">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7">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8">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16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8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904"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DC">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DD">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DE">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r>
    </w:p>
    <w:p w:rsidR="00000000" w:rsidDel="00000000" w:rsidP="00000000" w:rsidRDefault="00000000" w:rsidRPr="00000000" w14:paraId="000000DF">
      <w:pPr>
        <w:spacing w:after="180" w:before="1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E0">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E1">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pgSz w:h="16834" w:w="11909" w:orient="portrait"/>
      <w:pgMar w:bottom="123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decimal"/>
      <w:lvlText w:val="%1."/>
      <w:lvlJc w:val="left"/>
      <w:pPr>
        <w:ind w:left="600" w:hanging="360"/>
      </w:pPr>
      <w:rPr/>
    </w:lvl>
    <w:lvl w:ilvl="1">
      <w:start w:val="1"/>
      <w:numFmt w:val="lowerLetter"/>
      <w:lvlText w:val="%2."/>
      <w:lvlJc w:val="left"/>
      <w:pPr>
        <w:ind w:left="1320" w:hanging="360"/>
      </w:pPr>
      <w:rPr/>
    </w:lvl>
    <w:lvl w:ilvl="2">
      <w:start w:val="1"/>
      <w:numFmt w:val="lowerRoman"/>
      <w:lvlText w:val="%3."/>
      <w:lvlJc w:val="right"/>
      <w:pPr>
        <w:ind w:left="2040" w:hanging="180"/>
      </w:pPr>
      <w:rPr/>
    </w:lvl>
    <w:lvl w:ilvl="3">
      <w:start w:val="1"/>
      <w:numFmt w:val="decimal"/>
      <w:lvlText w:val="%4."/>
      <w:lvlJc w:val="left"/>
      <w:pPr>
        <w:ind w:left="2760" w:hanging="360"/>
      </w:pPr>
      <w:rPr/>
    </w:lvl>
    <w:lvl w:ilvl="4">
      <w:start w:val="1"/>
      <w:numFmt w:val="lowerLetter"/>
      <w:lvlText w:val="%5."/>
      <w:lvlJc w:val="left"/>
      <w:pPr>
        <w:ind w:left="3480" w:hanging="360"/>
      </w:pPr>
      <w:rPr/>
    </w:lvl>
    <w:lvl w:ilvl="5">
      <w:start w:val="1"/>
      <w:numFmt w:val="lowerRoman"/>
      <w:lvlText w:val="%6."/>
      <w:lvlJc w:val="right"/>
      <w:pPr>
        <w:ind w:left="4200" w:hanging="180"/>
      </w:pPr>
      <w:rPr/>
    </w:lvl>
    <w:lvl w:ilvl="6">
      <w:start w:val="1"/>
      <w:numFmt w:val="decimal"/>
      <w:lvlText w:val="%7."/>
      <w:lvlJc w:val="left"/>
      <w:pPr>
        <w:ind w:left="4920" w:hanging="360"/>
      </w:pPr>
      <w:rPr/>
    </w:lvl>
    <w:lvl w:ilvl="7">
      <w:start w:val="1"/>
      <w:numFmt w:val="lowerLetter"/>
      <w:lvlText w:val="%8."/>
      <w:lvlJc w:val="left"/>
      <w:pPr>
        <w:ind w:left="5640" w:hanging="360"/>
      </w:pPr>
      <w:rPr/>
    </w:lvl>
    <w:lvl w:ilvl="8">
      <w:start w:val="1"/>
      <w:numFmt w:val="lowerRoman"/>
      <w:lvlText w:val="%9."/>
      <w:lvlJc w:val="right"/>
      <w:pPr>
        <w:ind w:left="6360" w:hanging="180"/>
      </w:pPr>
      <w:rPr/>
    </w:lvl>
  </w:abstractNum>
  <w:abstractNum w:abstractNumId="5">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ast-sos.org/documents-and-reports/" TargetMode="Externa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ropbox.com/scl/fi/q4qjfzbmif872xrkxilpk/19.12.23.pdf?rlkey=uc744myyxydtqqjoyf5mj55xj&amp;e=2&amp;dl=0"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tYo+w4sL78KtyKN1otEsjUFUWA==">CgMxLjAyCWguMmV0OTJwMDIKaWQuMnM4ZXlvMTIOaC54NnlsMzh4MGlxemcyDmgudGU0b3loNW0zbXV4Mg5oLmVsdWd6eG1iN3J6OTIJaC4zMGowemxsMg5oLnE2d3JmdnBjNWdzMTgAciExMjV0RE1yYWwyMFFFSHpGZmthLUNIcUEyaG42MDVoa2I=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