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Garamond" w:cs="Garamond" w:eastAsia="Garamond" w:hAnsi="Garamond"/>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Додаток №1 </w:t>
      </w:r>
      <w:r w:rsidDel="00000000" w:rsidR="00000000" w:rsidRPr="00000000">
        <w:rPr>
          <w:rtl w:val="0"/>
        </w:rPr>
      </w:r>
    </w:p>
    <w:p w:rsidR="00000000" w:rsidDel="00000000" w:rsidP="00000000" w:rsidRDefault="00000000" w:rsidRPr="00000000" w14:paraId="00000002">
      <w:pPr>
        <w:spacing w:after="0" w:line="240" w:lineRule="auto"/>
        <w:jc w:val="center"/>
        <w:rPr>
          <w:rFonts w:ascii="Garamond" w:cs="Garamond" w:eastAsia="Garamond" w:hAnsi="Garamond"/>
          <w:b w:val="1"/>
          <w:bCs w:val="1"/>
          <w:sz w:val="28"/>
          <w:szCs w:val="28"/>
        </w:rPr>
      </w:pPr>
      <w:r w:rsidDel="00000000" w:rsidR="00000000" w:rsidRPr="00000000">
        <w:rPr>
          <w:rFonts w:ascii="Garamond" w:cs="Garamond" w:eastAsia="Garamond" w:hAnsi="Garamond"/>
          <w:b w:val="1"/>
          <w:bCs w:val="1"/>
          <w:sz w:val="28"/>
          <w:szCs w:val="28"/>
          <w:rtl w:val="0"/>
        </w:rPr>
        <w:t xml:space="preserve">Інструкція щодо виконання аудиторських завдань, пов’язаних із діяльністю, що фінансується за рахунок державних грантів у Данії та за кордоном і управляється об’єднаними фондами та мережами (гранти на суму понад 500 000 датських крон)</w:t>
      </w:r>
    </w:p>
    <w:p w:rsidR="00000000" w:rsidDel="00000000" w:rsidP="00000000" w:rsidRDefault="00000000" w:rsidRPr="00000000" w14:paraId="00000003">
      <w:pPr>
        <w:spacing w:after="0" w:line="240" w:lineRule="auto"/>
        <w:jc w:val="both"/>
        <w:rPr>
          <w:rFonts w:ascii="Garamond" w:cs="Garamond" w:eastAsia="Garamond" w:hAnsi="Garamond"/>
          <w:b w:val="1"/>
          <w:bCs w:val="1"/>
          <w:sz w:val="28"/>
          <w:szCs w:val="28"/>
        </w:rPr>
      </w:pPr>
      <w:r w:rsidDel="00000000" w:rsidR="00000000" w:rsidRPr="00000000">
        <w:rPr>
          <w:rtl w:val="0"/>
        </w:rPr>
      </w:r>
    </w:p>
    <w:p w:rsidR="00000000" w:rsidDel="00000000" w:rsidP="00000000" w:rsidRDefault="00000000" w:rsidRPr="00000000" w14:paraId="00000004">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Ця інструкція охоплює аудиторські завдання, які Міністерство закордонних справ Данії (МЗС) вимагає від аудитора приймаючої організації виконувати стосовно державного грантового фінансування діяльності, що адмініструється об’єднаними фондами та мережами в Данії та країнах, що розвиваються. Інструкція застосовується до всіх заходів, включених до бюджету, затвердженого МЗС. Таким чином, інструкція з аудиту охоплює всі заходи в рамках програм та проектів як для об’єднаних фондів, так і для власних допоміжних заходів приймаючої організації, а також інші заходи, адміністративну діяльність та аудит. Її застосування поширюється як на приймаючу організацію, так і на грантоотримувача та місцевого партнера. Правова основа для надання інструкцій у сфері аудиту міститься в щорічних законах про фінансування та в керівних принципах управління грантовим фінансуванням від МЗС для об’єднаних фондів та мереж, до яких ця інструкція є додатком.</w:t>
      </w:r>
    </w:p>
    <w:p w:rsidR="00000000" w:rsidDel="00000000" w:rsidP="00000000" w:rsidRDefault="00000000" w:rsidRPr="00000000" w14:paraId="00000005">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1. </w:t>
      </w:r>
      <w:r w:rsidDel="00000000" w:rsidR="00000000" w:rsidRPr="00000000">
        <w:rPr>
          <w:rFonts w:ascii="Garamond" w:cs="Garamond" w:eastAsia="Garamond" w:hAnsi="Garamond"/>
          <w:sz w:val="26"/>
          <w:szCs w:val="26"/>
          <w:rtl w:val="0"/>
        </w:rPr>
        <w:t xml:space="preserve">Аудитор приймаючої організації/грантоотримувача призначається компетентним органом організації. Аудит проводиться незалежним сертифікованим аудитором.</w:t>
      </w:r>
    </w:p>
    <w:p w:rsidR="00000000" w:rsidDel="00000000" w:rsidP="00000000" w:rsidRDefault="00000000" w:rsidRPr="00000000" w14:paraId="00000006">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 У разі зміни аудитора в приймаючій організації новий аудитор або приймаюча організація повинні зв’язатися з МЗС та повідомити про причини зміни аудитора.</w:t>
      </w:r>
    </w:p>
    <w:p w:rsidR="00000000" w:rsidDel="00000000" w:rsidP="00000000" w:rsidRDefault="00000000" w:rsidRPr="00000000" w14:paraId="00000007">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 Якщо аудит діяльності за межами Данії проводиться на місці в країні-реципієнті, його повинен здійснювати незалежний сертифікований аудитор з аудиторської фірми, що має високу репутацію. Данський аудитор приймаючої організації також відповідає за загальний нагляд за місцевим аудитом витрат за кордоном.</w:t>
      </w:r>
    </w:p>
    <w:p w:rsidR="00000000" w:rsidDel="00000000" w:rsidP="00000000" w:rsidRDefault="00000000" w:rsidRPr="00000000" w14:paraId="00000008">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2. </w:t>
      </w:r>
      <w:r w:rsidDel="00000000" w:rsidR="00000000" w:rsidRPr="00000000">
        <w:rPr>
          <w:rFonts w:ascii="Garamond" w:cs="Garamond" w:eastAsia="Garamond" w:hAnsi="Garamond"/>
          <w:sz w:val="26"/>
          <w:szCs w:val="26"/>
          <w:rtl w:val="0"/>
        </w:rPr>
        <w:t xml:space="preserve">Аудит у Данії проводиться відповідно до стандартів аудиту державного сектору (тобто </w:t>
      </w:r>
      <w:r w:rsidDel="00000000" w:rsidR="00000000" w:rsidRPr="00000000">
        <w:rPr>
          <w:rFonts w:ascii="Garamond" w:cs="Garamond" w:eastAsia="Garamond" w:hAnsi="Garamond"/>
          <w:i w:val="1"/>
          <w:iCs w:val="1"/>
          <w:sz w:val="26"/>
          <w:szCs w:val="26"/>
          <w:rtl w:val="0"/>
        </w:rPr>
        <w:t xml:space="preserve">standarderne for offentlig revision, SOR</w:t>
      </w:r>
      <w:r w:rsidDel="00000000" w:rsidR="00000000" w:rsidRPr="00000000">
        <w:rPr>
          <w:rFonts w:ascii="Garamond" w:cs="Garamond" w:eastAsia="Garamond" w:hAnsi="Garamond"/>
          <w:sz w:val="26"/>
          <w:szCs w:val="26"/>
          <w:rtl w:val="0"/>
        </w:rPr>
        <w:t xml:space="preserve">). За межами Данії фінансові, результативні та комплаєнс-аудити проводяться відповідно до визнаних міжнародних стандартів, виданих IFAC та/або INTOSAI. Місцевий аудитор повинен бути поінформований про зміст цієї інструкції з аудиту.</w:t>
      </w:r>
    </w:p>
    <w:p w:rsidR="00000000" w:rsidDel="00000000" w:rsidP="00000000" w:rsidRDefault="00000000" w:rsidRPr="00000000" w14:paraId="00000009">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 Аудит повинен перевірити, чи є звітність точною та чи відповідають операції, відображені у фінансовій звітності, наданим асигнуванням, керівним принципам управління фінансуванням грантів, підписаним контрактам та законам, а також іншим нормам у сфері управління грантами. Аудитор також оцінює, чи були належним чином враховані фінансові міркування при управлінні грантом, включеним до звітності.</w:t>
      </w:r>
    </w:p>
    <w:p w:rsidR="00000000" w:rsidDel="00000000" w:rsidP="00000000" w:rsidRDefault="00000000" w:rsidRPr="00000000" w14:paraId="0000000A">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3. </w:t>
      </w:r>
      <w:r w:rsidDel="00000000" w:rsidR="00000000" w:rsidRPr="00000000">
        <w:rPr>
          <w:rFonts w:ascii="Garamond" w:cs="Garamond" w:eastAsia="Garamond" w:hAnsi="Garamond"/>
          <w:sz w:val="26"/>
          <w:szCs w:val="26"/>
          <w:rtl w:val="0"/>
        </w:rPr>
        <w:t xml:space="preserve">Обсяг аудиту залежить від адміністративної структури та практики приймаючої організації/грантоотримувача/місцевого партнера, включаючи внутрішній контроль та інші питання, що мають значення для подання звітності. </w:t>
      </w:r>
    </w:p>
    <w:p w:rsidR="00000000" w:rsidDel="00000000" w:rsidP="00000000" w:rsidRDefault="00000000" w:rsidRPr="00000000" w14:paraId="0000000B">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4. </w:t>
      </w:r>
      <w:r w:rsidDel="00000000" w:rsidR="00000000" w:rsidRPr="00000000">
        <w:rPr>
          <w:rFonts w:ascii="Garamond" w:cs="Garamond" w:eastAsia="Garamond" w:hAnsi="Garamond"/>
          <w:sz w:val="26"/>
          <w:szCs w:val="26"/>
          <w:rtl w:val="0"/>
        </w:rPr>
        <w:t xml:space="preserve">Зазвичай аудит проводиться протягом року для приймаючих організацій та наприкінці терміну дії гранту для грантоотримувачів/місцевих партнерів. У рамках аудиту аудитор перевіряє організаційну структуру приймаючої організації/грантоотримувача/місцевого партнера та існуючі адміністративні процедури, приділяючи особливу увагу бухгалтерському обліку, фінансовому управлінню та належному внутрішньому контролю. Як правило, суттєвий аудит проводиться у формі вибіркової перевірки документів та їх правильного відображення в бухгалтерському обліку на основі оцінки суттєвості та ризику. Аудитор приймаючої організації/грантоотримувача перевіряє, чи була місцева фінансова звітність з-за кордону перевірена відповідно до визнаних міжнародних стандартів та чи має вона завірення місцевого аудитора та особи, уповноваженої приймаючою організацією/грантоотримувачем. Аудитор проводить загальну оцінку обсягу та якості місцевого аудиту, у разі необхідності після контакту з місцевим аудитором.</w:t>
      </w:r>
    </w:p>
    <w:p w:rsidR="00000000" w:rsidDel="00000000" w:rsidP="00000000" w:rsidRDefault="00000000" w:rsidRPr="00000000" w14:paraId="0000000C">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 Аудитор повинен переконатися, що приймаюча організація складає річну фінансову звітність відповідно до вимог, викладених у керівних принципах управління грантовим фінансуванням. Аудитор приймаючої організації/грантоотримувача повинен, зокрема, але не обмежуючись цим, перевірити, чи:</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фінансова звітність є достовірною та не містить істотних помилок або упущень,</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Чи дотримується приймаюча організація фінансових вимог, викладених у керівних принципах управління фінансуванням грантів, та протоколів щорічних стратегічних переговорів із МЗС;</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чи відповідають операції, відображені у фінансовій звітності, асигнуванням та загальній меті їх використання, як було погоджено між приймаючою організацією та МЗС під час щорічних стратегічних переговорів;</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Чи отримала приймаюча організація фінансову звітність, перевірену місцевими аудиторами, щодо всіх видів діяльності за межами Данії. Якщо це не так, перелік фінансової звітності, що не була надана, має бути доданий як додаток до загальної фінансової звітності,</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Чи викликав місцевий аудит значні зауваження та чи має він застереження. Якщо місцевий аудит має застереження, це має бути зазначено в аудиторському звіті або в листі аудитора до керівництва (або в аналогічному форматі),</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завершені проекти належним чином задокументовані та зазначені у внутрішній фінансовій звітності приймаючої організації/грантоотримувача,</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Фінансові звіти узгоджені з річним фінансовим звітом приймаючої організації/грантоотримувача та, наскільки це можливо, з річним фінансовим звітом місцевого партнера.</w:t>
      </w:r>
    </w:p>
    <w:p w:rsidR="00000000" w:rsidDel="00000000" w:rsidP="00000000" w:rsidRDefault="00000000" w:rsidRPr="00000000" w14:paraId="00000014">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 Під час аудиту відповідності перевіряється, чи управління грантом відповідає встановленим вимогам. Аудит планується та проводиться відповідно до SOR 6.</w:t>
      </w:r>
    </w:p>
    <w:p w:rsidR="00000000" w:rsidDel="00000000" w:rsidP="00000000" w:rsidRDefault="00000000" w:rsidRPr="00000000" w14:paraId="00000015">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 Аудит ефективності перевіряє, чи були належним чином враховані фінансові міркування при управлінні грантом. Аудит проводиться відповідно до SOR 7 та ґрунтується на бухгалтерському звіті приймаючої організації, стратегічному плані, звіті про результати діяльності та інших звітах до МЗС щодо цілей та результатів, а також на економічності, ефективності та результативності.</w:t>
      </w:r>
    </w:p>
    <w:p w:rsidR="00000000" w:rsidDel="00000000" w:rsidP="00000000" w:rsidRDefault="00000000" w:rsidRPr="00000000" w14:paraId="00000016">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(5) Аудитор повинен перевірити, чи кошти гранту відокремлені від інших коштів у системі бухгалтерського обліку організації або за допомогою окремого банківського рахунку, а також чи не відбувається змішування коштів гранту з власними коштами приймаючої організації/грантоотримувача/місцевого партнера.</w:t>
      </w:r>
    </w:p>
    <w:p w:rsidR="00000000" w:rsidDel="00000000" w:rsidP="00000000" w:rsidRDefault="00000000" w:rsidRPr="00000000" w14:paraId="00000017">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5. </w:t>
      </w:r>
      <w:r w:rsidDel="00000000" w:rsidR="00000000" w:rsidRPr="00000000">
        <w:rPr>
          <w:rFonts w:ascii="Garamond" w:cs="Garamond" w:eastAsia="Garamond" w:hAnsi="Garamond"/>
          <w:sz w:val="26"/>
          <w:szCs w:val="26"/>
          <w:rtl w:val="0"/>
        </w:rPr>
        <w:t xml:space="preserve">Керівництво приймаючої організації/грантоотримувача/місцевого партнера зобов’язане надати аудитору інформацію, яка може бути визнана важливою для оцінки фінансової звітності та для оцінки аудитором діяльності керівництва, включаючи цілі та досягнуті результати. Керівництво зобов’язане надати аудитору можливість провести ті перевірки, які він вважає необхідними, та забезпечити, щоб аудитор отримав інформацію та допомогу, які можуть бути визнані необхідними для проведення аудиту.</w:t>
      </w:r>
    </w:p>
    <w:p w:rsidR="00000000" w:rsidDel="00000000" w:rsidP="00000000" w:rsidRDefault="00000000" w:rsidRPr="00000000" w14:paraId="00000018">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6. </w:t>
      </w:r>
      <w:r w:rsidDel="00000000" w:rsidR="00000000" w:rsidRPr="00000000">
        <w:rPr>
          <w:rFonts w:ascii="Garamond" w:cs="Garamond" w:eastAsia="Garamond" w:hAnsi="Garamond"/>
          <w:sz w:val="26"/>
          <w:szCs w:val="26"/>
          <w:rtl w:val="0"/>
        </w:rPr>
        <w:t xml:space="preserve">Якщо аудитор приймаючої організації/грантоотримувача/місцевого партнера виявляє будь-які ознаки шахрайства або істотних порушень керівних принципів управління грантовим фінансуванням, він зобов’язаний негайно повідомити про це керівництво грантодавця та компетентний орган і забезпечити, щоб повідомлення про виявлені факти разом із зауваженнями аудитора було надіслано МЗС протягом 3 тижнів. В іншому випадку аудитор зобов’язаний повідомити МЗС.</w:t>
      </w:r>
    </w:p>
    <w:p w:rsidR="00000000" w:rsidDel="00000000" w:rsidP="00000000" w:rsidRDefault="00000000" w:rsidRPr="00000000" w14:paraId="00000019">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 Те саме має застосовуватися, якщо під час аудиту або в інший спосіб аудитор дізнається, що продовження діяльності є невизначеним з економічних або інших причин.</w:t>
      </w:r>
    </w:p>
    <w:p w:rsidR="00000000" w:rsidDel="00000000" w:rsidP="00000000" w:rsidRDefault="00000000" w:rsidRPr="00000000" w14:paraId="0000001A">
      <w:pPr>
        <w:jc w:val="both"/>
        <w:rPr>
          <w:rFonts w:ascii="Garamond" w:cs="Garamond" w:eastAsia="Garamond" w:hAnsi="Garamond"/>
          <w:sz w:val="26"/>
          <w:szCs w:val="26"/>
        </w:rPr>
      </w:pPr>
      <w:r w:rsidDel="00000000" w:rsidR="00000000" w:rsidRPr="00000000">
        <w:rPr>
          <w:rFonts w:ascii="Garamond" w:cs="Garamond" w:eastAsia="Garamond" w:hAnsi="Garamond"/>
          <w:b w:val="1"/>
          <w:bCs w:val="1"/>
          <w:sz w:val="26"/>
          <w:szCs w:val="26"/>
          <w:rtl w:val="0"/>
        </w:rPr>
        <w:t xml:space="preserve">§ 7. </w:t>
      </w:r>
      <w:r w:rsidDel="00000000" w:rsidR="00000000" w:rsidRPr="00000000">
        <w:rPr>
          <w:rFonts w:ascii="Garamond" w:cs="Garamond" w:eastAsia="Garamond" w:hAnsi="Garamond"/>
          <w:sz w:val="26"/>
          <w:szCs w:val="26"/>
          <w:rtl w:val="0"/>
        </w:rPr>
        <w:t xml:space="preserve">До перевіреної фінансової звітності має бути додано аудиторський висновок відповідно до вказівок у SOR5, у якому має зазначатися, що рахунки були перевірені відповідно до правил, викладених у цій інструкції.</w:t>
      </w:r>
    </w:p>
    <w:p w:rsidR="00000000" w:rsidDel="00000000" w:rsidP="00000000" w:rsidRDefault="00000000" w:rsidRPr="00000000" w14:paraId="0000001B">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 Аудитор повинен подати розгорнутий аудиторський звіт (або у подібному форматі), що включає, але не обмежується інформацією про:</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які аудиторські дії було здійснено та їхні результати,</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істотну невизначеність, помилки або упущення щодо бухгалтерського обліку або внутрішнього контролю приймаючої організації,</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проведеному аудиті ефективності, включаючи, зокрема, оцінки та висновки аудитора щодо економічності, ефективності та результативності, а також розпорядження, що виходять за межі співпраці з МЗС,</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tl w:val="0"/>
        </w:rPr>
        <w:t xml:space="preserve">оцінку аудитором місцевого аудиту, включаючи невирішені фінансові звіти, облікові записи з застереженнями та суттєві зауваження в аудиторських звітах за результатами місцевих аудитів. </w:t>
      </w:r>
    </w:p>
    <w:p w:rsidR="00000000" w:rsidDel="00000000" w:rsidP="00000000" w:rsidRDefault="00000000" w:rsidRPr="00000000" w14:paraId="00000020">
      <w:pPr>
        <w:ind w:left="360" w:firstLine="0"/>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У розширеному аудиторському звіті має бути зазначено, чи дотримується аудитор законодавчих вимог щодо відповідності критеріям придатності, чи отримав аудитор всю інформацію, запитувану під час аудиту, та чи надав аудитор коментарі щодо використання гранту. У розширеному аудиторському звіті має бути надано інформацію про будь-які спеціальні звіти або заяви, а також про надання спеціальної інформації, консультацій або допомоги.</w:t>
      </w:r>
    </w:p>
    <w:p w:rsidR="00000000" w:rsidDel="00000000" w:rsidP="00000000" w:rsidRDefault="00000000" w:rsidRPr="00000000" w14:paraId="00000021">
      <w:pPr>
        <w:jc w:val="both"/>
        <w:rPr>
          <w:rFonts w:ascii="Garamond" w:cs="Garamond" w:eastAsia="Garamond" w:hAnsi="Garamond"/>
          <w:sz w:val="26"/>
          <w:szCs w:val="26"/>
        </w:rPr>
      </w:pPr>
      <w:bookmarkStart w:colFirst="0" w:colLast="0" w:name="_heading=h.615mjtz6l2jl" w:id="0"/>
      <w:bookmarkEnd w:id="0"/>
      <w:r w:rsidDel="00000000" w:rsidR="00000000" w:rsidRPr="00000000">
        <w:rPr>
          <w:rFonts w:ascii="Garamond" w:cs="Garamond" w:eastAsia="Garamond" w:hAnsi="Garamond"/>
          <w:sz w:val="26"/>
          <w:szCs w:val="26"/>
          <w:rtl w:val="0"/>
        </w:rPr>
        <w:t xml:space="preserve">(3) Копія розширеного аудиторського звіту має бути подана приймаючою організацією до МЗС разом із перевіреною фінансовою звітністю . Те саме стосується загальної перевіреної фінансової звітності приймаючої організації, включаючи розширений аудиторський звіт, як тільки вона буде затверджена виконавчим комітетом або компетентним органом приймаючої організації.</w:t>
      </w:r>
    </w:p>
    <w:p w:rsidR="00000000" w:rsidDel="00000000" w:rsidP="00000000" w:rsidRDefault="00000000" w:rsidRPr="00000000" w14:paraId="00000022">
      <w:pPr>
        <w:jc w:val="both"/>
        <w:rPr>
          <w:rFonts w:ascii="Garamond" w:cs="Garamond" w:eastAsia="Garamond" w:hAnsi="Garamond"/>
          <w:sz w:val="26"/>
          <w:szCs w:val="26"/>
        </w:rPr>
      </w:pPr>
      <w:bookmarkStart w:colFirst="0" w:colLast="0" w:name="_heading=h.w6s729so9cm" w:id="1"/>
      <w:bookmarkEnd w:id="1"/>
      <w:r w:rsidDel="00000000" w:rsidR="00000000" w:rsidRPr="00000000">
        <w:rPr>
          <w:rFonts w:ascii="Garamond" w:cs="Garamond" w:eastAsia="Garamond" w:hAnsi="Garamond"/>
          <w:b w:val="1"/>
          <w:bCs w:val="1"/>
          <w:sz w:val="26"/>
          <w:szCs w:val="26"/>
          <w:rtl w:val="0"/>
        </w:rPr>
        <w:t xml:space="preserve">§ 8.</w:t>
      </w:r>
      <w:r w:rsidDel="00000000" w:rsidR="00000000" w:rsidRPr="00000000">
        <w:rPr>
          <w:rFonts w:ascii="Garamond" w:cs="Garamond" w:eastAsia="Garamond" w:hAnsi="Garamond"/>
          <w:sz w:val="26"/>
          <w:szCs w:val="26"/>
          <w:rtl w:val="0"/>
        </w:rPr>
        <w:t xml:space="preserve"> Приймаюча організація/грантоотримувач/місцевий партнер зобов’язані отримати письмову згоду аудитора на проведення аудиту гранту відповідно до цієї інструкції.</w:t>
      </w:r>
    </w:p>
    <w:p w:rsidR="00000000" w:rsidDel="00000000" w:rsidP="00000000" w:rsidRDefault="00000000" w:rsidRPr="00000000" w14:paraId="00000023">
      <w:pPr>
        <w:rPr>
          <w:rFonts w:ascii="Garamond" w:cs="Garamond" w:eastAsia="Garamond" w:hAnsi="Garamond"/>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4">
      <w:pPr>
        <w:jc w:val="both"/>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Доповнення до </w:t>
      </w:r>
      <w:r w:rsidDel="00000000" w:rsidR="00000000" w:rsidRPr="00000000">
        <w:rPr>
          <w:rFonts w:ascii="Garamond" w:cs="Garamond" w:eastAsia="Garamond" w:hAnsi="Garamond"/>
          <w:b w:val="1"/>
          <w:bCs w:val="1"/>
          <w:sz w:val="28"/>
          <w:szCs w:val="28"/>
          <w:rtl w:val="0"/>
        </w:rPr>
        <w:t xml:space="preserve">інструкції щодо виконання аудиторських завдань, пов’язаних із діяльністю, що фінансується за рахунок державних грантів у Данії та країнах, що розвиваються, і адмініструється об’єднаними фондами та мережами (гранти на суму понад 500 000 датських крон)</w:t>
      </w:r>
      <w:r w:rsidDel="00000000" w:rsidR="00000000" w:rsidRPr="00000000">
        <w:rPr>
          <w:rtl w:val="0"/>
        </w:rPr>
      </w:r>
    </w:p>
    <w:p w:rsidR="00000000" w:rsidDel="00000000" w:rsidP="00000000" w:rsidRDefault="00000000" w:rsidRPr="00000000" w14:paraId="00000025">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Як правило, звіт про аудит ефективності подається у вигляді розгорнутого аудиторського звіту.</w:t>
      </w:r>
    </w:p>
    <w:p w:rsidR="00000000" w:rsidDel="00000000" w:rsidP="00000000" w:rsidRDefault="00000000" w:rsidRPr="00000000" w14:paraId="00000026">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У звіті аудитора має бути зазначено, що аудит було проведено відповідно до інструкцій з аудиту та стандартів аудиту державного сектору.</w:t>
      </w:r>
    </w:p>
    <w:p w:rsidR="00000000" w:rsidDel="00000000" w:rsidP="00000000" w:rsidRDefault="00000000" w:rsidRPr="00000000" w14:paraId="00000027">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У звіті про аудит повинні бути зазначені суттєві недоліки та/або обґрунтовані припущення щодо порушення положень та умов надання та використання грантів.</w:t>
      </w:r>
    </w:p>
    <w:p w:rsidR="00000000" w:rsidDel="00000000" w:rsidP="00000000" w:rsidRDefault="00000000" w:rsidRPr="00000000" w14:paraId="00000028">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На практиці детальна звітність аудитора про аудит може бути представлена у розгорнутому аудиторському звіті щодо приймаючої організації/грантоотримувача/місцевого партнера або в окремому звіті поза межами послідовної нумерації сторінок розгорнутого аудиторського звіту, за умови, що у самому розгорнутому аудиторському звіті міститься посилання на такі окремі звіти та що суттєві зауваження відображені у самому розгорнутому аудиторському звіті. </w:t>
      </w:r>
    </w:p>
    <w:p w:rsidR="00000000" w:rsidDel="00000000" w:rsidP="00000000" w:rsidRDefault="00000000" w:rsidRPr="00000000" w14:paraId="00000029">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Контроль аудитора щодо розділу §4 (4) може здійснюватися шляхом перегляду аудитором загальних встановлених процедур приймаючої організації/грантоотримувача/місцевого партнера щодо визначення збору даних та звітування про цілі продуктивності та ефективності. Звіт аудитора з цього приводу може бути наданий у розгорнутому аудиторському звіті приймаючої організації/грантоотримувача/місцевого партнера або в окремому звіті, див. вище.</w:t>
      </w:r>
    </w:p>
    <w:p w:rsidR="00000000" w:rsidDel="00000000" w:rsidP="00000000" w:rsidRDefault="00000000" w:rsidRPr="00000000" w14:paraId="0000002A">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У тій мірі, в якій приймаюча організація/грантоотримувач/місцевий партнер здійснює конкретні фактичні вимірювання продуктивності та ефективності, очікується, що аудитор оцінить надійність таких вимірювань та надасть звіт про це у розширеному аудиторському звіті. У разі відсутності таких конкретних вимірювань аудитор повинен оцінити, чи здійснює організація іншим чином (часто на більш якісній основі) обґрунтовані оцінки своєї діяльності, та може запропонувати відповідні методи вимірювання. Аудитор може повідомити про відсутність надійних вимірювань продуктивності, ефективності тощо у розширеному аудиторському звіті без висловлення застережень або надання додаткової інформації в аудиторському звіті щодо фінансової звітності.</w:t>
      </w:r>
    </w:p>
    <w:p w:rsidR="00000000" w:rsidDel="00000000" w:rsidP="00000000" w:rsidRDefault="00000000" w:rsidRPr="00000000" w14:paraId="0000002B">
      <w:pPr>
        <w:jc w:val="both"/>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Якщо показники продуктивності та ефективності відсутні або наявні показники мають такий характер, що не можуть слугувати основою для аудиторського контролю відповідно до пункту §4 (4), аудитор повинен повідомити про це у розгорнутому аудиторському звіті або в окремому звіті поза межами послідовної нумерації сторінок аудиторської документації, за умови, що у самому розгорнутому аудиторському звіті міститься посилання на такі окремі звіти та що суттєві зауваження наводяться у самому розгорнутому аудиторському звіті. </w:t>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Garamond" w:cs="Garamond" w:eastAsia="Garamond" w:hAnsi="Garamond"/>
        <w:b w:val="0"/>
        <w:bCs w:val="0"/>
        <w:i w:val="0"/>
        <w:iCs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0g6trmOzvYF7jnAZ5MFUURu9aQ==">CgMxLjAyDmguNjE1bWp0ejZsMmpsMg1oLnc2czcyOXNvOWNtOAByITFlTkJwR1I5QUFha2Zscjh6MW54Wkk5N0pjcnplY0NuTw==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