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27.03.2025 р.                                                                                                      </w:t>
        <w:tab/>
        <w:t xml:space="preserve">  м.  Київ</w:t>
      </w:r>
    </w:p>
    <w:p w:rsidR="00000000" w:rsidDel="00000000" w:rsidP="00000000" w:rsidRDefault="00000000" w:rsidRPr="00000000" w14:paraId="00000002">
      <w:pPr>
        <w:spacing w:line="240" w:lineRule="auto"/>
        <w:ind w:right="-40" w:firstLine="851"/>
        <w:jc w:val="both"/>
        <w:rPr>
          <w:rFonts w:ascii="Times New Roman" w:cs="Times New Roman" w:eastAsia="Times New Roman" w:hAnsi="Times New Roman"/>
          <w:b w:val="1"/>
          <w:bCs w:val="1"/>
          <w:sz w:val="24"/>
          <w:szCs w:val="24"/>
        </w:rPr>
      </w:pPr>
      <w:bookmarkStart w:colFirst="0" w:colLast="0" w:name="_heading=h.2et92p0" w:id="0"/>
      <w:bookmarkEnd w:id="0"/>
      <w:r w:rsidDel="00000000" w:rsidR="00000000" w:rsidRPr="00000000">
        <w:rPr>
          <w:rtl w:val="0"/>
        </w:rPr>
      </w:r>
    </w:p>
    <w:p w:rsidR="00000000" w:rsidDel="00000000" w:rsidP="00000000" w:rsidRDefault="00000000" w:rsidRPr="00000000" w14:paraId="00000003">
      <w:pPr>
        <w:spacing w:line="240" w:lineRule="auto"/>
        <w:ind w:right="-40" w:firstLine="85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на  виконання робіт з поточного ремонту частини будівлі (гуртожитку), яка знаходиться за адресою:  Харківська обл., м. Харків, вул. Вадима Манька, буд. 1  в рамках проєкту:  «Адаптоване житло та персоналізована підтримка для вразливих категорій переміщених осіб у Харківській області» за підтримки Українського гуманітарного фонду (UHF).</w:t>
      </w:r>
      <w:r w:rsidDel="00000000" w:rsidR="00000000" w:rsidRPr="00000000">
        <w:rPr>
          <w:rFonts w:ascii="Times New Roman" w:cs="Times New Roman" w:eastAsia="Times New Roman" w:hAnsi="Times New Roman"/>
          <w:b w:val="1"/>
          <w:bCs w:val="1"/>
          <w:color w:val="1f1f1f"/>
          <w:sz w:val="24"/>
          <w:szCs w:val="24"/>
          <w:rtl w:val="0"/>
        </w:rPr>
        <w:br w:type="textWrapping"/>
      </w:r>
      <w:r w:rsidDel="00000000" w:rsidR="00000000" w:rsidRPr="00000000">
        <w:rPr>
          <w:rtl w:val="0"/>
        </w:rPr>
      </w:r>
    </w:p>
    <w:p w:rsidR="00000000" w:rsidDel="00000000" w:rsidP="00000000" w:rsidRDefault="00000000" w:rsidRPr="00000000" w14:paraId="00000004">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5">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line="240" w:lineRule="auto"/>
        <w:ind w:left="0" w:right="-4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7">
      <w:pP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«Схід-СОС» оголошує тендер на виконання робіт з поточного ремонту частини будівлі (гуртожитку), яка знаходиться за адресою:  Харківська обл., м. Харків, вул. Вадима Манька, буд. 1.</w:t>
      </w:r>
    </w:p>
    <w:p w:rsidR="00000000" w:rsidDel="00000000" w:rsidP="00000000" w:rsidRDefault="00000000" w:rsidRPr="00000000" w14:paraId="00000008">
      <w:pPr>
        <w:spacing w:line="240" w:lineRule="auto"/>
        <w:ind w:right="-40"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right="-40" w:firstLine="85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проекту: «Адаптоване житло та персоналізована підтримка для вразливих категорій переміщених осіб у Харківській області» за підтримки Українського гуманітарного фонду (UHF).</w:t>
      </w:r>
    </w:p>
    <w:p w:rsidR="00000000" w:rsidDel="00000000" w:rsidP="00000000" w:rsidRDefault="00000000" w:rsidRPr="00000000" w14:paraId="0000000A">
      <w:pPr>
        <w:spacing w:line="240" w:lineRule="auto"/>
        <w:ind w:right="-40" w:firstLine="851"/>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right="-40" w:firstLine="851"/>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«Положення про закупівлю товарів, робіт і послуг Благодійної організації «Благодійний Фонд «Схід-СОС»  </w:t>
        </w:r>
      </w:hyperlink>
      <w:r w:rsidDel="00000000" w:rsidR="00000000" w:rsidRPr="00000000">
        <w:rPr>
          <w:rtl w:val="0"/>
        </w:rPr>
      </w:r>
    </w:p>
    <w:p w:rsidR="00000000" w:rsidDel="00000000" w:rsidP="00000000" w:rsidRDefault="00000000" w:rsidRPr="00000000" w14:paraId="0000000C">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до 30 вересня 2026 року. </w:t>
      </w:r>
    </w:p>
    <w:p w:rsidR="00000000" w:rsidDel="00000000" w:rsidP="00000000" w:rsidRDefault="00000000" w:rsidRPr="00000000" w14:paraId="0000000E">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10">
      <w:pPr>
        <w:spacing w:line="240" w:lineRule="auto"/>
        <w:ind w:right="-40" w:firstLine="851"/>
        <w:jc w:val="both"/>
        <w:rPr>
          <w:rFonts w:ascii="Times New Roman" w:cs="Times New Roman" w:eastAsia="Times New Roman" w:hAnsi="Times New Roman"/>
          <w:b w:val="1"/>
          <w:bCs w:val="1"/>
          <w:sz w:val="24"/>
          <w:szCs w:val="24"/>
          <w:highlight w:val="cyan"/>
        </w:rPr>
      </w:pPr>
      <w:r w:rsidDel="00000000" w:rsidR="00000000" w:rsidRPr="00000000">
        <w:rPr>
          <w:rtl w:val="0"/>
        </w:rPr>
      </w:r>
    </w:p>
    <w:p w:rsidR="00000000" w:rsidDel="00000000" w:rsidP="00000000" w:rsidRDefault="00000000" w:rsidRPr="00000000" w14:paraId="00000011">
      <w:pPr>
        <w:spacing w:line="240" w:lineRule="auto"/>
        <w:ind w:left="0" w:right="-40" w:firstLine="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1.2. Порядок проведення тендеру</w:t>
      </w:r>
    </w:p>
    <w:p w:rsidR="00000000" w:rsidDel="00000000" w:rsidP="00000000" w:rsidRDefault="00000000" w:rsidRPr="00000000" w14:paraId="00000012">
      <w:pPr>
        <w:shd w:fill="ffffff" w:val="clear"/>
        <w:spacing w:line="240" w:lineRule="auto"/>
        <w:ind w:right="-40" w:firstLine="851"/>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Тендерною</w:t>
      </w:r>
      <w:r w:rsidDel="00000000" w:rsidR="00000000" w:rsidRPr="00000000">
        <w:rPr>
          <w:rFonts w:ascii="Times New Roman" w:cs="Times New Roman" w:eastAsia="Times New Roman" w:hAnsi="Times New Roman"/>
          <w:color w:val="000000"/>
          <w:sz w:val="24"/>
          <w:szCs w:val="24"/>
          <w:rtl w:val="0"/>
        </w:rPr>
        <w:t xml:space="preserve"> процедурою передбачено що, учасники самостійно визнача</w:t>
      </w:r>
      <w:r w:rsidDel="00000000" w:rsidR="00000000" w:rsidRPr="00000000">
        <w:rPr>
          <w:rFonts w:ascii="Times New Roman" w:cs="Times New Roman" w:eastAsia="Times New Roman" w:hAnsi="Times New Roman"/>
          <w:sz w:val="24"/>
          <w:szCs w:val="24"/>
          <w:rtl w:val="0"/>
        </w:rPr>
        <w:t xml:space="preserve">ють</w:t>
      </w:r>
      <w:r w:rsidDel="00000000" w:rsidR="00000000" w:rsidRPr="00000000">
        <w:rPr>
          <w:rFonts w:ascii="Times New Roman" w:cs="Times New Roman" w:eastAsia="Times New Roman" w:hAnsi="Times New Roman"/>
          <w:color w:val="000000"/>
          <w:sz w:val="24"/>
          <w:szCs w:val="24"/>
          <w:rtl w:val="0"/>
        </w:rPr>
        <w:t xml:space="preserve"> обсяги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необхідні матеріали, ресурси та вартість виконання робіт на підставі власних розрахунків</w:t>
      </w:r>
      <w:r w:rsidDel="00000000" w:rsidR="00000000" w:rsidRPr="00000000">
        <w:rPr>
          <w:rFonts w:ascii="Times New Roman" w:cs="Times New Roman" w:eastAsia="Times New Roman" w:hAnsi="Times New Roman"/>
          <w:sz w:val="24"/>
          <w:szCs w:val="24"/>
          <w:rtl w:val="0"/>
        </w:rPr>
        <w:t xml:space="preserve"> після відвідування об’єкту. </w:t>
        <w:br w:type="textWrapping"/>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b w:val="1"/>
          <w:bCs w:val="1"/>
          <w:color w:val="000000"/>
          <w:sz w:val="24"/>
          <w:szCs w:val="24"/>
          <w:rtl w:val="0"/>
        </w:rPr>
        <w:t xml:space="preserve">Передбачено наступн</w:t>
      </w:r>
      <w:r w:rsidDel="00000000" w:rsidR="00000000" w:rsidRPr="00000000">
        <w:rPr>
          <w:rFonts w:ascii="Times New Roman" w:cs="Times New Roman" w:eastAsia="Times New Roman" w:hAnsi="Times New Roman"/>
          <w:b w:val="1"/>
          <w:bCs w:val="1"/>
          <w:sz w:val="24"/>
          <w:szCs w:val="24"/>
          <w:rtl w:val="0"/>
        </w:rPr>
        <w:t xml:space="preserve">ий</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порядок проведення тендерної процедури:</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13">
      <w:pPr>
        <w:shd w:fill="ffffff" w:val="clea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Благодійна організація «Благодійний Фонд «Схід-СОС» забезпечує можливість ознайомлення з об’єктом виконання робіт. Можливість ознайомлення з об’єктом відбувається за попередньою реєстрацією за телефоном: +380974666086 або електронною поштою o.kariavka@east-sos.org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до 18.00 </w:t>
      </w:r>
      <w:r w:rsidDel="00000000" w:rsidR="00000000" w:rsidRPr="00000000">
        <w:rPr>
          <w:rFonts w:ascii="Times New Roman" w:cs="Times New Roman" w:eastAsia="Times New Roman" w:hAnsi="Times New Roman"/>
          <w:sz w:val="24"/>
          <w:szCs w:val="24"/>
          <w:rtl w:val="0"/>
        </w:rPr>
        <w:t xml:space="preserve">03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квітня 2026 року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15">
      <w:pPr>
        <w:shd w:fill="ffffff" w:val="clea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Учасниками здійс</w:t>
      </w:r>
      <w:r w:rsidDel="00000000" w:rsidR="00000000" w:rsidRPr="00000000">
        <w:rPr>
          <w:rFonts w:ascii="Times New Roman" w:cs="Times New Roman" w:eastAsia="Times New Roman" w:hAnsi="Times New Roman"/>
          <w:sz w:val="24"/>
          <w:szCs w:val="24"/>
          <w:rtl w:val="0"/>
        </w:rPr>
        <w:t xml:space="preserve">нюється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обстеження об’єкта з метою </w:t>
      </w:r>
      <w:r w:rsidDel="00000000" w:rsidR="00000000" w:rsidRPr="00000000">
        <w:rPr>
          <w:rFonts w:ascii="Times New Roman" w:cs="Times New Roman" w:eastAsia="Times New Roman" w:hAnsi="Times New Roman"/>
          <w:sz w:val="24"/>
          <w:szCs w:val="24"/>
          <w:rtl w:val="0"/>
        </w:rPr>
        <w:t xml:space="preserve">визначення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фактичних обсягів робіт, технічного стану та умов виконання. Обстеження об’єкта</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можливо в період з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0</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квітня 2026 р. по 0</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квітня 2026 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оку після узгодження точного часу з</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відповідальною особою.</w:t>
      </w:r>
      <w:r w:rsidDel="00000000" w:rsidR="00000000" w:rsidRPr="00000000">
        <w:rPr>
          <w:rFonts w:ascii="Times New Roman" w:cs="Times New Roman" w:eastAsia="Times New Roman" w:hAnsi="Times New Roman"/>
          <w:sz w:val="24"/>
          <w:szCs w:val="24"/>
          <w:rtl w:val="0"/>
        </w:rPr>
        <w:t xml:space="preserve"> Обстеження об’єкта Учасниками допускається виключно за умови попередньої реєстрації та у присутності відповідальної особи. Самовільне відвідування об’єкта забороняється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shd w:fill="ffffff" w:val="clea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Усі витрати, пов’язані з обстеженням об’єкта, покладаються на учасника.</w:t>
      </w:r>
    </w:p>
    <w:p w:rsidR="00000000" w:rsidDel="00000000" w:rsidP="00000000" w:rsidRDefault="00000000" w:rsidRPr="00000000" w14:paraId="00000018">
      <w:pPr>
        <w:shd w:fill="ffffff" w:val="clea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Прийом </w:t>
      </w:r>
      <w:r w:rsidDel="00000000" w:rsidR="00000000" w:rsidRPr="00000000">
        <w:rPr>
          <w:rFonts w:ascii="Times New Roman" w:cs="Times New Roman" w:eastAsia="Times New Roman" w:hAnsi="Times New Roman"/>
          <w:sz w:val="24"/>
          <w:szCs w:val="24"/>
          <w:rtl w:val="0"/>
        </w:rPr>
        <w:t xml:space="preserve">тендерних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пропозицій від учасників відбувається </w:t>
      </w:r>
      <w:r w:rsidDel="00000000" w:rsidR="00000000" w:rsidRPr="00000000">
        <w:rPr>
          <w:rFonts w:ascii="Times New Roman" w:cs="Times New Roman" w:eastAsia="Times New Roman" w:hAnsi="Times New Roman"/>
          <w:sz w:val="24"/>
          <w:szCs w:val="24"/>
          <w:rtl w:val="0"/>
        </w:rPr>
        <w:t xml:space="preserve">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  18.0</w:t>
      </w:r>
      <w:r w:rsidDel="00000000" w:rsidR="00000000" w:rsidRPr="00000000">
        <w:rPr>
          <w:rFonts w:ascii="Times New Roman" w:cs="Times New Roman" w:eastAsia="Times New Roman" w:hAnsi="Times New Roman"/>
          <w:sz w:val="24"/>
          <w:szCs w:val="24"/>
          <w:rtl w:val="0"/>
        </w:rPr>
        <w:t xml:space="preserve">0 21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квітня 2026 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Пропо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зиція учасника формується на підставі власних розрахунків за результатами самостійного обстеження об’єкта.</w:t>
      </w:r>
    </w:p>
    <w:p w:rsidR="00000000" w:rsidDel="00000000" w:rsidP="00000000" w:rsidRDefault="00000000" w:rsidRPr="00000000" w14:paraId="0000001A">
      <w:pPr>
        <w:shd w:fill="ffffff" w:val="clea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Учасник несе повну відповідальність за повноту врахування всіх витрат, необхідних для якісного та повного виконання робіт відповідно до предмета закупівлі, а також за всі ризики, пов’язані з виконанням робіт. Додаткове фінансування у зв’язку з не врахованими витратами не передбачається.</w:t>
      </w:r>
      <w:r w:rsidDel="00000000" w:rsidR="00000000" w:rsidRPr="00000000">
        <w:rPr>
          <w:rtl w:val="0"/>
        </w:rPr>
      </w:r>
    </w:p>
    <w:p w:rsidR="00000000" w:rsidDel="00000000" w:rsidP="00000000" w:rsidRDefault="00000000" w:rsidRPr="00000000" w14:paraId="0000001B">
      <w:pPr>
        <w:shd w:fill="ffffff" w:val="clear"/>
        <w:spacing w:line="240" w:lineRule="auto"/>
        <w:ind w:right="-40" w:firstLine="851"/>
        <w:jc w:val="both"/>
        <w:rPr/>
      </w:pPr>
      <w:r w:rsidDel="00000000" w:rsidR="00000000" w:rsidRPr="00000000">
        <w:rPr>
          <w:rFonts w:ascii="Times New Roman" w:cs="Times New Roman" w:eastAsia="Times New Roman" w:hAnsi="Times New Roman"/>
          <w:color w:val="000000"/>
          <w:sz w:val="24"/>
          <w:szCs w:val="24"/>
          <w:rtl w:val="0"/>
        </w:rPr>
        <w:t xml:space="preserve">Подання тендерної пропозиції підтверджує, що учасник врахував усі умови виконання робіт, включаючи фактичний стан об’єкта.</w:t>
      </w:r>
      <w:r w:rsidDel="00000000" w:rsidR="00000000" w:rsidRPr="00000000">
        <w:rPr>
          <w:rtl w:val="0"/>
        </w:rPr>
        <w:t xml:space="preserve"> </w:t>
      </w:r>
    </w:p>
    <w:p w:rsidR="00000000" w:rsidDel="00000000" w:rsidP="00000000" w:rsidRDefault="00000000" w:rsidRPr="00000000" w14:paraId="0000001C">
      <w:pPr>
        <w:shd w:fill="ffffff" w:val="clea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Договірна ціна є твердою та включає всі витрати, необхідні для виконання повного комплексу робіт, навіть якщо окремі обсяги не були прямо визначені у технічному завданні.</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Додаткові витрати, пов’язані з уточненням обсягів робіт після укладення договору,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не компенсуються.</w:t>
      </w:r>
    </w:p>
    <w:p w:rsidR="00000000" w:rsidDel="00000000" w:rsidP="00000000" w:rsidRDefault="00000000" w:rsidRPr="00000000" w14:paraId="0000001D">
      <w:pPr>
        <w:shd w:fill="ffffff" w:val="clea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 Кваліфікаційні вимоги</w:t>
      </w:r>
      <w:r w:rsidDel="00000000" w:rsidR="00000000" w:rsidRPr="00000000">
        <w:rPr>
          <w:rtl w:val="0"/>
        </w:rPr>
      </w:r>
    </w:p>
    <w:p w:rsidR="00000000" w:rsidDel="00000000" w:rsidP="00000000" w:rsidRDefault="00000000" w:rsidRPr="00000000" w14:paraId="0000001F">
      <w:pPr>
        <w:numPr>
          <w:ilvl w:val="0"/>
          <w:numId w:val="5"/>
        </w:numPr>
        <w:spacing w:before="120" w:lineRule="auto"/>
        <w:ind w:left="720" w:hanging="360"/>
        <w:jc w:val="both"/>
        <w:rPr>
          <w:rFonts w:ascii="Arial" w:cs="Arial" w:eastAsia="Arial" w:hAnsi="Arial"/>
          <w:highlight w:val="white"/>
        </w:rPr>
      </w:pPr>
      <w:r w:rsidDel="00000000" w:rsidR="00000000" w:rsidRPr="00000000">
        <w:rPr>
          <w:rFonts w:ascii="Times New Roman" w:cs="Times New Roman" w:eastAsia="Times New Roman" w:hAnsi="Times New Roman"/>
          <w:sz w:val="24"/>
          <w:szCs w:val="24"/>
          <w:highlight w:val="white"/>
          <w:rtl w:val="0"/>
        </w:rPr>
        <w:t xml:space="preserve">Заявку на участь в тендері можуть подавати виключно юридичні особи в організаційно-правовій формі ТОВ або ПП та ФОП;</w:t>
      </w:r>
      <w:r w:rsidDel="00000000" w:rsidR="00000000" w:rsidRPr="00000000">
        <w:rPr>
          <w:rtl w:val="0"/>
        </w:rPr>
      </w:r>
    </w:p>
    <w:p w:rsidR="00000000" w:rsidDel="00000000" w:rsidP="00000000" w:rsidRDefault="00000000" w:rsidRPr="00000000" w14:paraId="00000020">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21">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щодо обсягу виконаних проектів за останні 3 роки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проектів. </w:t>
      </w:r>
    </w:p>
    <w:p w:rsidR="00000000" w:rsidDel="00000000" w:rsidP="00000000" w:rsidRDefault="00000000" w:rsidRPr="00000000" w14:paraId="00000022">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23">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24">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25">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може надати копію сертифікату на систему управління інформаційною безпекою за ДСТУ ISO/IEC 27001:2023 (ISO/IEC 27001:2022, IDT) (за наявності);</w:t>
      </w:r>
    </w:p>
    <w:p w:rsidR="00000000" w:rsidDel="00000000" w:rsidP="00000000" w:rsidRDefault="00000000" w:rsidRPr="00000000" w14:paraId="00000026">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27">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надає заповнений Додаток 1.1 “Тендерна пропозиція”,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Графік виконання робіт (у довільній деталізований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28">
      <w:pPr>
        <w:spacing w:line="240" w:lineRule="auto"/>
        <w:ind w:left="0" w:right="-4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2A">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2B">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2C">
      <w:pPr>
        <w:spacing w:after="300" w:before="300" w:line="36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br w:type="textWrapping"/>
        <w:tab/>
      </w:r>
      <w:r w:rsidDel="00000000" w:rsidR="00000000" w:rsidRPr="00000000">
        <w:rPr>
          <w:rFonts w:ascii="Times New Roman" w:cs="Times New Roman" w:eastAsia="Times New Roman" w:hAnsi="Times New Roman"/>
          <w:b w:val="1"/>
          <w:bCs w:val="1"/>
          <w:sz w:val="24"/>
          <w:szCs w:val="24"/>
          <w:rtl w:val="0"/>
        </w:rPr>
        <w:t xml:space="preserve">Для Товариств з обмеженою відповідальністю</w:t>
      </w:r>
      <w:r w:rsidDel="00000000" w:rsidR="00000000" w:rsidRPr="00000000">
        <w:rPr>
          <w:rFonts w:ascii="Times New Roman" w:cs="Times New Roman" w:eastAsia="Times New Roman" w:hAnsi="Times New Roman"/>
          <w:b w:val="1"/>
          <w:bCs w:val="1"/>
          <w:sz w:val="24"/>
          <w:szCs w:val="24"/>
          <w:highlight w:val="white"/>
          <w:rtl w:val="0"/>
        </w:rPr>
        <w:t xml:space="preserve"> та Приватних підприємств:</w:t>
      </w:r>
    </w:p>
    <w:p w:rsidR="00000000" w:rsidDel="00000000" w:rsidP="00000000" w:rsidRDefault="00000000" w:rsidRPr="00000000" w14:paraId="0000002D">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2E">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2F">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установчого документу ТОВ (Статут);</w:t>
      </w:r>
    </w:p>
    <w:p w:rsidR="00000000" w:rsidDel="00000000" w:rsidP="00000000" w:rsidRDefault="00000000" w:rsidRPr="00000000" w14:paraId="00000030">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підписанта (протокол, наказ про призначення);</w:t>
      </w:r>
    </w:p>
    <w:p w:rsidR="00000000" w:rsidDel="00000000" w:rsidP="00000000" w:rsidRDefault="00000000" w:rsidRPr="00000000" w14:paraId="00000031">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(попередній звітний період);</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Для Фізичних осіб-підприємців:</w:t>
      </w:r>
    </w:p>
    <w:p w:rsidR="00000000" w:rsidDel="00000000" w:rsidP="00000000" w:rsidRDefault="00000000" w:rsidRPr="00000000" w14:paraId="00000032">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33">
      <w:pPr>
        <w:numPr>
          <w:ilvl w:val="0"/>
          <w:numId w:val="6"/>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34">
      <w:pPr>
        <w:numPr>
          <w:ilvl w:val="0"/>
          <w:numId w:val="6"/>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35">
      <w:pPr>
        <w:numPr>
          <w:ilvl w:val="0"/>
          <w:numId w:val="6"/>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(Податкова декларація за попередній звітний період);</w:t>
      </w:r>
      <w:r w:rsidDel="00000000" w:rsidR="00000000" w:rsidRPr="00000000">
        <w:rPr>
          <w:rtl w:val="0"/>
        </w:rPr>
      </w:r>
    </w:p>
    <w:p w:rsidR="00000000" w:rsidDel="00000000" w:rsidP="00000000" w:rsidRDefault="00000000" w:rsidRPr="00000000" w14:paraId="00000036">
      <w:pPr>
        <w:spacing w:line="240" w:lineRule="auto"/>
        <w:ind w:right="-40"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ind w:left="0" w:right="-4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Подача тендерних пропозицій</w:t>
      </w:r>
    </w:p>
    <w:p w:rsidR="00000000" w:rsidDel="00000000" w:rsidP="00000000" w:rsidRDefault="00000000" w:rsidRPr="00000000" w14:paraId="00000038">
      <w:pPr>
        <w:spacing w:line="240" w:lineRule="auto"/>
        <w:ind w:left="0" w:right="-4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line="240" w:lineRule="auto"/>
        <w:ind w:right="-40" w:firstLine="851"/>
        <w:jc w:val="both"/>
        <w:rPr>
          <w:rFonts w:ascii="Times New Roman" w:cs="Times New Roman" w:eastAsia="Times New Roman" w:hAnsi="Times New Roman"/>
          <w:b w:val="1"/>
          <w:bCs w:val="1"/>
          <w:sz w:val="24"/>
          <w:szCs w:val="24"/>
        </w:rPr>
      </w:pPr>
      <w:bookmarkStart w:colFirst="0" w:colLast="0" w:name="_heading=h.zbs0sf3q2u2j" w:id="1"/>
      <w:bookmarkEnd w:id="1"/>
      <w:r w:rsidDel="00000000" w:rsidR="00000000" w:rsidRPr="00000000">
        <w:rPr>
          <w:rFonts w:ascii="Times New Roman" w:cs="Times New Roman" w:eastAsia="Times New Roman" w:hAnsi="Times New Roman"/>
          <w:sz w:val="24"/>
          <w:szCs w:val="24"/>
          <w:rtl w:val="0"/>
        </w:rPr>
        <w:t xml:space="preserve">Пропозиції слід надати в одному примірнику до 18:00 </w:t>
      </w:r>
      <w:r w:rsidDel="00000000" w:rsidR="00000000" w:rsidRPr="00000000">
        <w:rPr>
          <w:rFonts w:ascii="Times New Roman" w:cs="Times New Roman" w:eastAsia="Times New Roman" w:hAnsi="Times New Roman"/>
          <w:sz w:val="24"/>
          <w:szCs w:val="24"/>
          <w:rtl w:val="0"/>
        </w:rPr>
        <w:t xml:space="preserve">«21» квітня 2026 року в паперовому вигляді поштою, або особ</w:t>
      </w:r>
      <w:r w:rsidDel="00000000" w:rsidR="00000000" w:rsidRPr="00000000">
        <w:rPr>
          <w:rFonts w:ascii="Times New Roman" w:cs="Times New Roman" w:eastAsia="Times New Roman" w:hAnsi="Times New Roman"/>
          <w:color w:val="000000"/>
          <w:sz w:val="24"/>
          <w:szCs w:val="24"/>
          <w:rtl w:val="0"/>
        </w:rPr>
        <w:t xml:space="preserve">исто в запечатаному конверті з маркуванням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Тендер </w:t>
      </w:r>
      <w:r w:rsidDel="00000000" w:rsidR="00000000" w:rsidRPr="00000000">
        <w:rPr>
          <w:rFonts w:ascii="Times New Roman" w:cs="Times New Roman" w:eastAsia="Times New Roman" w:hAnsi="Times New Roman"/>
          <w:b w:val="1"/>
          <w:bCs w:val="1"/>
          <w:color w:val="131313"/>
          <w:sz w:val="24"/>
          <w:szCs w:val="24"/>
          <w:rtl w:val="0"/>
        </w:rPr>
        <w:t xml:space="preserve">на виконання робіт з поточного ремонту частини будівлі (гуртожитку), яка знаходиться за адресою:  Харківська обл., м. Харків, вул. Вадима Манька, буд.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+380974666086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p>
    <w:p w:rsidR="00000000" w:rsidDel="00000000" w:rsidP="00000000" w:rsidRDefault="00000000" w:rsidRPr="00000000" w14:paraId="0000003A">
      <w:pPr>
        <w:spacing w:line="240" w:lineRule="auto"/>
        <w:ind w:right="-4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+380974666086.</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До пропозиції слід додати електронний носій (флешку) з копією кошторису в електронному вигляді в форматі програми АВК, або посилання на цю документацію в хмарному сховищі.</w:t>
        <w:br w:type="textWrapping"/>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тендерних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3E">
      <w:pPr>
        <w:spacing w:line="240" w:lineRule="auto"/>
        <w:ind w:left="0" w:right="-4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3F">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40">
      <w:pPr>
        <w:numPr>
          <w:ilvl w:val="0"/>
          <w:numId w:val="2"/>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Уставні, дозвільні документи та фінансову звітність;</w:t>
      </w:r>
    </w:p>
    <w:p w:rsidR="00000000" w:rsidDel="00000000" w:rsidP="00000000" w:rsidRDefault="00000000" w:rsidRPr="00000000" w14:paraId="00000041">
      <w:pPr>
        <w:numPr>
          <w:ilvl w:val="0"/>
          <w:numId w:val="2"/>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42">
      <w:pPr>
        <w:numPr>
          <w:ilvl w:val="0"/>
          <w:numId w:val="2"/>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щодо обсягу виконаних проєктів за останні 3 роки;</w:t>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(тендерна пропозиція);</w:t>
      </w:r>
      <w:r w:rsidDel="00000000" w:rsidR="00000000" w:rsidRPr="00000000">
        <w:rPr>
          <w:rtl w:val="0"/>
        </w:rPr>
      </w:r>
    </w:p>
    <w:p w:rsidR="00000000" w:rsidDel="00000000" w:rsidP="00000000" w:rsidRDefault="00000000" w:rsidRPr="00000000" w14:paraId="00000044">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Графік виконання робіт (у довільній деталізованій формі);</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Лист-роз'яснення умов гарантійних термінів на виконання робіт;</w:t>
      </w:r>
    </w:p>
    <w:p w:rsidR="00000000" w:rsidDel="00000000" w:rsidP="00000000" w:rsidRDefault="00000000" w:rsidRPr="00000000" w14:paraId="00000047">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highlight w:val="white"/>
          <w:rtl w:val="0"/>
        </w:rPr>
        <w:t xml:space="preserve">(за наявності)</w:t>
      </w:r>
      <w:r w:rsidDel="00000000" w:rsidR="00000000" w:rsidRPr="00000000">
        <w:rPr>
          <w:rFonts w:ascii="Times New Roman" w:cs="Times New Roman" w:eastAsia="Times New Roman" w:hAnsi="Times New Roman"/>
          <w:sz w:val="24"/>
          <w:szCs w:val="24"/>
          <w:highlight w:val="white"/>
          <w:rtl w:val="0"/>
        </w:rPr>
        <w:t xml:space="preserve"> уповноваженої особи</w:t>
      </w:r>
      <w:r w:rsidDel="00000000" w:rsidR="00000000" w:rsidRPr="00000000">
        <w:rPr>
          <w:rFonts w:ascii="Times New Roman" w:cs="Times New Roman" w:eastAsia="Times New Roman" w:hAnsi="Times New Roman"/>
          <w:b w:val="1"/>
          <w:bCs w:val="1"/>
          <w:sz w:val="24"/>
          <w:szCs w:val="24"/>
          <w:highlight w:val="white"/>
          <w:rtl w:val="0"/>
        </w:rPr>
        <w:t xml:space="preserve">.</w:t>
      </w:r>
      <w:r w:rsidDel="00000000" w:rsidR="00000000" w:rsidRPr="00000000">
        <w:rPr>
          <w:rtl w:val="0"/>
        </w:rPr>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Оцінка тендерних пропозицій учасників</w:t>
      </w:r>
    </w:p>
    <w:p w:rsidR="00000000" w:rsidDel="00000000" w:rsidP="00000000" w:rsidRDefault="00000000" w:rsidRPr="00000000" w14:paraId="00000049">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4A">
      <w:pPr>
        <w:spacing w:after="12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Пропозиції оцінюватимуться тендерним комітетом на комплексній основі.</w:t>
      </w:r>
      <w:r w:rsidDel="00000000" w:rsidR="00000000" w:rsidRPr="00000000">
        <w:rPr>
          <w:rFonts w:ascii="Times New Roman" w:cs="Times New Roman" w:eastAsia="Times New Roman" w:hAnsi="Times New Roman"/>
          <w:sz w:val="24"/>
          <w:szCs w:val="24"/>
          <w:highlight w:val="white"/>
          <w:rtl w:val="0"/>
        </w:rPr>
        <w:t xml:space="preserve"> Первинна оцінка виконується по загальній вартості пропозиції.</w:t>
      </w:r>
    </w:p>
    <w:p w:rsidR="00000000" w:rsidDel="00000000" w:rsidP="00000000" w:rsidRDefault="00000000" w:rsidRPr="00000000" w14:paraId="0000004B">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C">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Загальна вартість пропозиції - 30%. </w:t>
      </w:r>
    </w:p>
    <w:p w:rsidR="00000000" w:rsidDel="00000000" w:rsidP="00000000" w:rsidRDefault="00000000" w:rsidRPr="00000000" w14:paraId="0000004D">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Якість виконаних робіт та гарантійний термін на них - 20%,</w:t>
      </w:r>
    </w:p>
    <w:p w:rsidR="00000000" w:rsidDel="00000000" w:rsidP="00000000" w:rsidRDefault="00000000" w:rsidRPr="00000000" w14:paraId="0000004E">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Кількість залучених робітників та наявність матеріально-технічної бази - 20%,</w:t>
      </w:r>
    </w:p>
    <w:p w:rsidR="00000000" w:rsidDel="00000000" w:rsidP="00000000" w:rsidRDefault="00000000" w:rsidRPr="00000000" w14:paraId="0000004F">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Термін виконання - 20%,</w:t>
      </w:r>
    </w:p>
    <w:p w:rsidR="00000000" w:rsidDel="00000000" w:rsidP="00000000" w:rsidRDefault="00000000" w:rsidRPr="00000000" w14:paraId="00000050">
      <w:pPr>
        <w:numPr>
          <w:ilvl w:val="0"/>
          <w:numId w:val="4"/>
        </w:numPr>
        <w:spacing w:after="160"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Рекомендації (досвід виконаних робіт за останні 3 роки) - 10%.</w:t>
      </w:r>
    </w:p>
    <w:p w:rsidR="00000000" w:rsidDel="00000000" w:rsidP="00000000" w:rsidRDefault="00000000" w:rsidRPr="00000000" w14:paraId="00000051">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інформувати учасників у випадку продовження терміну розгляду тендерних пропозицій.</w:t>
      </w:r>
    </w:p>
    <w:p w:rsidR="00000000" w:rsidDel="00000000" w:rsidP="00000000" w:rsidRDefault="00000000" w:rsidRPr="00000000" w14:paraId="00000052">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Тендер вважається таким, що відбувся, при наявності від однієї пропозиції.</w:t>
      </w:r>
      <w:r w:rsidDel="00000000" w:rsidR="00000000" w:rsidRPr="00000000">
        <w:rPr>
          <w:rtl w:val="0"/>
        </w:rPr>
      </w:r>
    </w:p>
    <w:bookmarkStart w:colFirst="0" w:colLast="0" w:name="bookmark=kix.cbe2qizdgvj7" w:id="2"/>
    <w:bookmarkEnd w:id="2"/>
    <w:p w:rsidR="00000000" w:rsidDel="00000000" w:rsidP="00000000" w:rsidRDefault="00000000" w:rsidRPr="00000000" w14:paraId="00000053">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Інформування учасників</w:t>
      </w:r>
    </w:p>
    <w:p w:rsidR="00000000" w:rsidDel="00000000" w:rsidP="00000000" w:rsidRDefault="00000000" w:rsidRPr="00000000" w14:paraId="00000054">
      <w:pPr>
        <w:spacing w:after="180" w:before="1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r w:rsidDel="00000000" w:rsidR="00000000" w:rsidRPr="00000000">
        <w:rPr>
          <w:rtl w:val="0"/>
        </w:rPr>
      </w:r>
    </w:p>
    <w:p w:rsidR="00000000" w:rsidDel="00000000" w:rsidP="00000000" w:rsidRDefault="00000000" w:rsidRPr="00000000" w14:paraId="00000055">
      <w:pPr>
        <w:spacing w:line="240" w:lineRule="auto"/>
        <w:ind w:right="-40" w:firstLine="851"/>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6">
      <w:pPr>
        <w:spacing w:line="240" w:lineRule="auto"/>
        <w:ind w:right="-40" w:firstLine="720"/>
        <w:jc w:val="left"/>
        <w:rPr>
          <w:rFonts w:ascii="Times New Roman" w:cs="Times New Roman" w:eastAsia="Times New Roman" w:hAnsi="Times New Roman"/>
          <w:b w:val="1"/>
          <w:bCs w:val="1"/>
          <w:color w:val="131313"/>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Технічне завдання  на  виконання робіт з поточного ремонту частини будівлі (гуртожитку), яка знаходиться за адресою:  Харківська обл., м. Харків, вул. Вадима Манька, буд. 1</w:t>
      </w:r>
      <w:r w:rsidDel="00000000" w:rsidR="00000000" w:rsidRPr="00000000">
        <w:rPr>
          <w:rtl w:val="0"/>
        </w:rPr>
      </w:r>
    </w:p>
    <w:p w:rsidR="00000000" w:rsidDel="00000000" w:rsidP="00000000" w:rsidRDefault="00000000" w:rsidRPr="00000000" w14:paraId="00000057">
      <w:pPr>
        <w:spacing w:line="240" w:lineRule="auto"/>
        <w:ind w:right="-40" w:firstLine="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pacing w:line="240" w:lineRule="auto"/>
        <w:ind w:left="0" w:righ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 технічному завданні наведено основні вимоги та умови співпраці, а також перелік робіт, які потрібно виконати відповідно до умов тендеру.</w:t>
      </w:r>
      <w:r w:rsidDel="00000000" w:rsidR="00000000" w:rsidRPr="00000000">
        <w:rPr>
          <w:rtl w:val="0"/>
        </w:rPr>
      </w:r>
    </w:p>
    <w:p w:rsidR="00000000" w:rsidDel="00000000" w:rsidP="00000000" w:rsidRDefault="00000000" w:rsidRPr="00000000" w14:paraId="00000059">
      <w:pPr>
        <w:spacing w:line="240" w:lineRule="auto"/>
        <w:ind w:right="-40"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numPr>
          <w:ilvl w:val="0"/>
          <w:numId w:val="1"/>
        </w:numPr>
        <w:spacing w:line="240" w:lineRule="auto"/>
        <w:ind w:left="283.46456692913375" w:right="-40" w:hanging="283.4645669291337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Мета проєкту:</w:t>
      </w:r>
      <w:r w:rsidDel="00000000" w:rsidR="00000000" w:rsidRPr="00000000">
        <w:rPr>
          <w:rFonts w:ascii="Times New Roman" w:cs="Times New Roman" w:eastAsia="Times New Roman" w:hAnsi="Times New Roman"/>
          <w:color w:val="000000"/>
          <w:sz w:val="24"/>
          <w:szCs w:val="24"/>
          <w:rtl w:val="0"/>
        </w:rPr>
        <w:t xml:space="preserve"> покращення умов проживання внутрішньо переміщених осіб (ВПО), адаптація під потреби маломобільних груп населення (МГН),</w:t>
      </w:r>
      <w:r w:rsidDel="00000000" w:rsidR="00000000" w:rsidRPr="00000000">
        <w:rPr>
          <w:rtl w:val="0"/>
        </w:rPr>
      </w:r>
    </w:p>
    <w:p w:rsidR="00000000" w:rsidDel="00000000" w:rsidP="00000000" w:rsidRDefault="00000000" w:rsidRPr="00000000" w14:paraId="0000005B">
      <w:pPr>
        <w:spacing w:line="240" w:lineRule="auto"/>
        <w:ind w:right="-40"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1"/>
        </w:numPr>
        <w:spacing w:line="240" w:lineRule="auto"/>
        <w:ind w:left="283.46456692913375" w:right="-40" w:hanging="283.46456692913375"/>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bCs w:val="1"/>
          <w:color w:val="000000"/>
          <w:sz w:val="24"/>
          <w:szCs w:val="24"/>
          <w:rtl w:val="0"/>
        </w:rPr>
        <w:t xml:space="preserve">Інформація про об’єкт:</w:t>
      </w:r>
      <w:r w:rsidDel="00000000" w:rsidR="00000000" w:rsidRPr="00000000">
        <w:rPr>
          <w:rFonts w:ascii="Times New Roman" w:cs="Times New Roman" w:eastAsia="Times New Roman" w:hAnsi="Times New Roman"/>
          <w:color w:val="000000"/>
          <w:sz w:val="24"/>
          <w:szCs w:val="24"/>
          <w:rtl w:val="0"/>
        </w:rPr>
        <w:t xml:space="preserve"> будівля гуртожитку Національного аерокосмічного університету ім. М. Є. Жуковського "Харківський авіаційний інститут", яка знаходиться за адресою: Харківська обл., м. Харків, вул. Вадима Манька, буд. 1. Гуртожиток внесено до Узагальненого переліку місць тимчасового проживання ВПО. На даний час будівля не повністю облаштована для гідних умов проживання ВПО та МГН.</w:t>
      </w:r>
      <w:r w:rsidDel="00000000" w:rsidR="00000000" w:rsidRPr="00000000">
        <w:rPr>
          <w:rtl w:val="0"/>
        </w:rPr>
      </w:r>
    </w:p>
    <w:p w:rsidR="00000000" w:rsidDel="00000000" w:rsidP="00000000" w:rsidRDefault="00000000" w:rsidRPr="00000000" w14:paraId="0000005D">
      <w:pPr>
        <w:numPr>
          <w:ilvl w:val="0"/>
          <w:numId w:val="1"/>
        </w:numPr>
        <w:spacing w:line="240" w:lineRule="auto"/>
        <w:ind w:left="425.19685039370086" w:right="-40" w:hanging="283.4645669291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Зверніть увагу:</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E">
      <w:pPr>
        <w:numPr>
          <w:ilvl w:val="0"/>
          <w:numId w:val="8"/>
        </w:numPr>
        <w:spacing w:line="240" w:lineRule="auto"/>
        <w:ind w:left="0"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 переліку робіт зазначений у Додатку 1.2.</w:t>
      </w:r>
    </w:p>
    <w:p w:rsidR="00000000" w:rsidDel="00000000" w:rsidP="00000000" w:rsidRDefault="00000000" w:rsidRPr="00000000" w14:paraId="0000005F">
      <w:pPr>
        <w:numPr>
          <w:ilvl w:val="0"/>
          <w:numId w:val="8"/>
        </w:numPr>
        <w:spacing w:line="240" w:lineRule="auto"/>
        <w:ind w:left="0"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Фотоматеріали надані у Додатку 1.3.</w:t>
      </w:r>
      <w:r w:rsidDel="00000000" w:rsidR="00000000" w:rsidRPr="00000000">
        <w:rPr>
          <w:rtl w:val="0"/>
        </w:rPr>
      </w:r>
    </w:p>
    <w:p w:rsidR="00000000" w:rsidDel="00000000" w:rsidP="00000000" w:rsidRDefault="00000000" w:rsidRPr="00000000" w14:paraId="00000060">
      <w:pPr>
        <w:numPr>
          <w:ilvl w:val="0"/>
          <w:numId w:val="8"/>
        </w:numPr>
        <w:spacing w:line="240" w:lineRule="auto"/>
        <w:ind w:left="0"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Вигляд санвузлів після перепланування надані у Додатку 1.4.</w:t>
      </w:r>
    </w:p>
    <w:p w:rsidR="00000000" w:rsidDel="00000000" w:rsidP="00000000" w:rsidRDefault="00000000" w:rsidRPr="00000000" w14:paraId="00000061">
      <w:pPr>
        <w:numPr>
          <w:ilvl w:val="0"/>
          <w:numId w:val="8"/>
        </w:numPr>
        <w:spacing w:line="240" w:lineRule="auto"/>
        <w:ind w:left="0" w:right="-4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Перелік вимог до будівельних матеріалів і виробів які застосовуються для ремонтів місць тимчасового поселення надані у Додатку 1.5.</w:t>
      </w:r>
    </w:p>
    <w:p w:rsidR="00000000" w:rsidDel="00000000" w:rsidP="00000000" w:rsidRDefault="00000000" w:rsidRPr="00000000" w14:paraId="00000062">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3">
      <w:pPr>
        <w:numPr>
          <w:ilvl w:val="0"/>
          <w:numId w:val="1"/>
        </w:numPr>
        <w:spacing w:line="240" w:lineRule="auto"/>
        <w:ind w:left="425.19685039370086" w:right="-40" w:hanging="283.464566929134"/>
        <w:jc w:val="both"/>
        <w:rPr>
          <w:rFonts w:ascii="Times New Roman" w:cs="Times New Roman" w:eastAsia="Times New Roman" w:hAnsi="Times New Roman"/>
          <w:b w:val="1"/>
          <w:bCs w:val="1"/>
          <w:sz w:val="24"/>
          <w:szCs w:val="24"/>
        </w:rPr>
      </w:pPr>
      <w:bookmarkStart w:colFirst="0" w:colLast="0" w:name="_heading=h.2ysrw2pc8rz5" w:id="3"/>
      <w:bookmarkEnd w:id="3"/>
      <w:r w:rsidDel="00000000" w:rsidR="00000000" w:rsidRPr="00000000">
        <w:rPr>
          <w:rFonts w:ascii="Times New Roman" w:cs="Times New Roman" w:eastAsia="Times New Roman" w:hAnsi="Times New Roman"/>
          <w:b w:val="1"/>
          <w:bCs w:val="1"/>
          <w:sz w:val="24"/>
          <w:szCs w:val="24"/>
          <w:rtl w:val="0"/>
        </w:rPr>
        <w:t xml:space="preserve">Основні вимоги: </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Матеріали,  обладнання та устаткування, , які будуть використовуватись під час  виконання ремонтних робіт повинні відповідати вимогам технічних  регламентів,  процедурам підтвердження відповідності та придатності,  прийнятим  в  Україні. </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Матеріали, обладнання та устаткування, їх розміщення в санітарних вузлах має здійснюватись  з урахуванням вимог ДБН В.2.2-40:2018 Інклюзивність будівель і споруд. Основні положення.</w:t>
      </w:r>
    </w:p>
    <w:p w:rsidR="00000000" w:rsidDel="00000000" w:rsidP="00000000" w:rsidRDefault="00000000" w:rsidRPr="00000000" w14:paraId="000000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матеріалів, обладнання та устаткування </w:t>
      </w:r>
      <w:r w:rsidDel="00000000" w:rsidR="00000000" w:rsidRPr="00000000">
        <w:rPr>
          <w:rFonts w:ascii="Times New Roman" w:cs="Times New Roman" w:eastAsia="Times New Roman" w:hAnsi="Times New Roman"/>
          <w:sz w:val="24"/>
          <w:szCs w:val="24"/>
          <w:highlight w:val="white"/>
          <w:rtl w:val="0"/>
        </w:rPr>
        <w:t xml:space="preserve">учасник зобов’язаний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 договірній ціні вказати їх виробника/типи/марки/моделі для чіткої  ідентифікації під час розгляду тендерних пропозицій.</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Матеріали, обладнання та устаткування, зазначені у тендерній пропозиції , повинні бути доступні для придбання на території  України.</w:t>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Всі матеріали та обладнання, у т.ч. внутрішнього оздоблення, сантехнічні прилади, електротехнічне обладнання, обладнання для вентиляції і кондиціонування тощо повинні використовуватися у середньому ціновому сегменті, уникаючи зразків заздалегідь низької якості.</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 час виконання робіт з поточного ремонту дотримуватись вимог нормативно-правових актів України з охорони праці, санітарних і протипожежних вимог, правил техніки безпеки, охорони навколишнього середовища, складування матеріалів, розміщення та використання техніки тощо.</w:t>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Забезпечити виконання робіт з поточного ремонту усіма  необхідними матеріалами, інструментами, обладнанням, тощо.</w:t>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Забезпечити безперервне виконання робіт з поточного ремонту незалежно від наявності електропостачання, використовуючи альтернативні джерела енергії (генератори, акумулятори, тощо). </w:t>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Забезпечити утилізацію всіх демонтованих матеріалів, устаткування, обладнання та сміття, що утворилося під час виконання робіт з поточного ремонту з дотриманням вимог чинних державних норм.</w:t>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Договірна ціна є твердою та включає всі витрати, необхідні для виконання повного комплексу робіт, навіть якщо окремі обсяги не були прямо визначені у технічному завданні. Додаткові витрати, пов’язані з уточненням обсягів робіт після укладення договору, Замовником не компенсуються.</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4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визначенні вартості виконаних обсягів робіт і проведенні взаєморозрахунків за виконані роботи по об’єкту застосовуються первинні облікові документи «Акт приймання виконаних будівельних робіт» (форма № КБ-2в) і «Довідка про вартість виконаних будівельних робіт та витрати» (форма № КБ-3).</w:t>
      </w:r>
      <w:r w:rsidDel="00000000" w:rsidR="00000000" w:rsidRPr="00000000">
        <w:rPr>
          <w:rtl w:val="0"/>
        </w:rPr>
      </w:r>
    </w:p>
    <w:p w:rsidR="00000000" w:rsidDel="00000000" w:rsidP="00000000" w:rsidRDefault="00000000" w:rsidRPr="00000000" w14:paraId="0000006F">
      <w:pPr>
        <w:spacing w:line="240" w:lineRule="auto"/>
        <w:ind w:left="720" w:right="-4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numPr>
          <w:ilvl w:val="0"/>
          <w:numId w:val="1"/>
        </w:numPr>
        <w:spacing w:line="240" w:lineRule="auto"/>
        <w:ind w:left="566.9291338582675" w:right="-40" w:hanging="425.196850393700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Гарантійні зобов’язання.</w:t>
      </w:r>
    </w:p>
    <w:p w:rsidR="00000000" w:rsidDel="00000000" w:rsidP="00000000" w:rsidRDefault="00000000" w:rsidRPr="00000000" w14:paraId="00000071">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Підрядник зобов’язується надати гарантію на виконані роботи строком не менше 5 років від дня його прийняття замовником (на підтвердження учасник надає гарантійний лист у складі пропозиції). Гарантія має включати відповідальність за приховані дефекти, що виникли з вини виконавця або недоліків використаних матеріалів. Початком гарантійного строку вважається день, наступний після дня підписання акту про приймання-передачі об’єкта. Гарантійний строк продовжується на час, протягом якого об’єкт не міг експлуатуватися внаслідок недоліків, які виникли з вини підрядника.</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2">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spacing w:line="240" w:lineRule="auto"/>
        <w:ind w:right="-40" w:firstLine="85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074">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br w:type="textWrapping"/>
      </w:r>
    </w:p>
    <w:p w:rsidR="00000000" w:rsidDel="00000000" w:rsidP="00000000" w:rsidRDefault="00000000" w:rsidRPr="00000000" w14:paraId="00000075">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6">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7">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8">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9">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A">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B">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C">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D">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E">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F">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0">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1">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2">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3">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4">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5">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6">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7">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8">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9">
      <w:pPr>
        <w:spacing w:after="240" w:before="240" w:line="240" w:lineRule="auto"/>
        <w:ind w:right="-40" w:firstLine="851"/>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A">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1.1</w:t>
      </w:r>
    </w:p>
    <w:p w:rsidR="00000000" w:rsidDel="00000000" w:rsidP="00000000" w:rsidRDefault="00000000" w:rsidRPr="00000000" w14:paraId="0000008B">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ТЕНДЕРНА ПРОПОЗИЦІЯ</w:t>
      </w:r>
    </w:p>
    <w:p w:rsidR="00000000" w:rsidDel="00000000" w:rsidP="00000000" w:rsidRDefault="00000000" w:rsidRPr="00000000" w14:paraId="0000008C">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08D">
      <w:pPr>
        <w:spacing w:after="240" w:before="240" w:line="240" w:lineRule="auto"/>
        <w:jc w:val="both"/>
        <w:rPr>
          <w:rFonts w:ascii="Times New Roman" w:cs="Times New Roman" w:eastAsia="Times New Roman" w:hAnsi="Times New Roman"/>
          <w:sz w:val="24"/>
          <w:szCs w:val="24"/>
          <w:highlight w:val="cyan"/>
        </w:rPr>
      </w:pPr>
      <w:bookmarkStart w:colFirst="0" w:colLast="0" w:name="_heading=h.30j0zll" w:id="4"/>
      <w:bookmarkEnd w:id="4"/>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w:t>
      </w:r>
      <w:r w:rsidDel="00000000" w:rsidR="00000000" w:rsidRPr="00000000">
        <w:rPr>
          <w:rFonts w:ascii="Times New Roman" w:cs="Times New Roman" w:eastAsia="Times New Roman" w:hAnsi="Times New Roman"/>
          <w:b w:val="1"/>
          <w:bCs w:val="1"/>
          <w:sz w:val="24"/>
          <w:szCs w:val="24"/>
          <w:rtl w:val="0"/>
        </w:rPr>
        <w:t xml:space="preserve"> тендері </w:t>
      </w:r>
      <w:r w:rsidDel="00000000" w:rsidR="00000000" w:rsidRPr="00000000">
        <w:rPr>
          <w:rFonts w:ascii="Times New Roman" w:cs="Times New Roman" w:eastAsia="Times New Roman" w:hAnsi="Times New Roman"/>
          <w:b w:val="1"/>
          <w:bCs w:val="1"/>
          <w:color w:val="131313"/>
          <w:sz w:val="24"/>
          <w:szCs w:val="24"/>
          <w:rtl w:val="0"/>
        </w:rPr>
        <w:t xml:space="preserve">на  виконання робіт з поточного ремонту частини будівлі (гуртожитку), яка знаходиться за адресою:  Харківська обл., м. Харків, вул. Вадима Манька, буд. 1  в рамках проєкту:  «Адаптоване житло та персоналізована підтримка для вразливих категорій переміщених осіб у Харківській області» за підтримки Українського гуманітарного фонду (UHF)</w:t>
      </w:r>
      <w:r w:rsidDel="00000000" w:rsidR="00000000" w:rsidRPr="00000000">
        <w:rPr>
          <w:rtl w:val="0"/>
        </w:rPr>
      </w:r>
    </w:p>
    <w:p w:rsidR="00000000" w:rsidDel="00000000" w:rsidP="00000000" w:rsidRDefault="00000000" w:rsidRPr="00000000" w14:paraId="0000008E">
      <w:pPr>
        <w:spacing w:after="180" w:before="180" w:lineRule="auto"/>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 xml:space="preserve">для Благодійної організації «Благодійний Фонд «Схід-СОС».</w:t>
      </w:r>
      <w:r w:rsidDel="00000000" w:rsidR="00000000" w:rsidRPr="00000000">
        <w:rPr>
          <w:rtl w:val="0"/>
        </w:rPr>
      </w:r>
    </w:p>
    <w:tbl>
      <w:tblPr>
        <w:tblStyle w:val="Table1"/>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blHeader w:val="0"/>
        </w:trPr>
        <w:tc>
          <w:tcPr>
            <w:vMerge w:val="restart"/>
          </w:tcPr>
          <w:p w:rsidR="00000000" w:rsidDel="00000000" w:rsidP="00000000" w:rsidRDefault="00000000" w:rsidRPr="00000000" w14:paraId="0000008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090">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tc>
      </w:tr>
      <w:tr>
        <w:trPr>
          <w:cantSplit w:val="0"/>
          <w:tblHeader w:val="0"/>
        </w:trPr>
        <w:tc>
          <w:tcPr>
            <w:vMerge w:val="continue"/>
          </w:tcPr>
          <w:p w:rsidR="00000000" w:rsidDel="00000000" w:rsidP="00000000" w:rsidRDefault="00000000" w:rsidRPr="00000000" w14:paraId="00000091">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093">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blHeader w:val="0"/>
        </w:trPr>
        <w:tc>
          <w:tcPr>
            <w:vMerge w:val="continue"/>
          </w:tcPr>
          <w:p w:rsidR="00000000" w:rsidDel="00000000" w:rsidP="00000000" w:rsidRDefault="00000000" w:rsidRPr="00000000" w14:paraId="00000095">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tc>
      </w:tr>
      <w:tr>
        <w:trPr>
          <w:cantSplit w:val="0"/>
          <w:tblHeader w:val="0"/>
        </w:trPr>
        <w:tc>
          <w:tcPr>
            <w:vMerge w:val="continue"/>
          </w:tcPr>
          <w:p w:rsidR="00000000" w:rsidDel="00000000" w:rsidP="00000000" w:rsidRDefault="00000000" w:rsidRPr="00000000" w14:paraId="00000097">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Pr>
          <w:p w:rsidR="00000000" w:rsidDel="00000000" w:rsidP="00000000" w:rsidRDefault="00000000" w:rsidRPr="00000000" w14:paraId="00000099">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tc>
      </w:tr>
      <w:tr>
        <w:trPr>
          <w:cantSplit w:val="0"/>
          <w:trHeight w:val="2196" w:hRule="atLeast"/>
          <w:tblHeader w:val="0"/>
        </w:trPr>
        <w:tc>
          <w:tcPr/>
          <w:p w:rsidR="00000000" w:rsidDel="00000000" w:rsidP="00000000" w:rsidRDefault="00000000" w:rsidRPr="00000000" w14:paraId="0000009B">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br w:type="textWrapping"/>
            </w:r>
          </w:p>
        </w:tc>
      </w:tr>
      <w:tr>
        <w:trPr>
          <w:cantSplit w:val="0"/>
          <w:tblHeader w:val="0"/>
        </w:trPr>
        <w:tc>
          <w:tcPr/>
          <w:p w:rsidR="00000000" w:rsidDel="00000000" w:rsidP="00000000" w:rsidRDefault="00000000" w:rsidRPr="00000000" w14:paraId="0000009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0A0">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0A2">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0A6">
      <w:pPr>
        <w:spacing w:before="240" w:lineRule="auto"/>
        <w:rPr>
          <w:rFonts w:ascii="Times New Roman" w:cs="Times New Roman" w:eastAsia="Times New Roman" w:hAnsi="Times New Roman"/>
          <w:b w:val="1"/>
          <w:bCs w:val="1"/>
          <w:sz w:val="24"/>
          <w:szCs w:val="24"/>
        </w:rPr>
      </w:pPr>
      <w:bookmarkStart w:colFirst="0" w:colLast="0" w:name="_heading=h.l1skcsoswao5" w:id="5"/>
      <w:bookmarkEnd w:id="5"/>
      <w:r w:rsidDel="00000000" w:rsidR="00000000" w:rsidRPr="00000000">
        <w:rPr>
          <w:rtl w:val="0"/>
        </w:rPr>
      </w:r>
    </w:p>
    <w:p w:rsidR="00000000" w:rsidDel="00000000" w:rsidP="00000000" w:rsidRDefault="00000000" w:rsidRPr="00000000" w14:paraId="000000A7">
      <w:pPr>
        <w:spacing w:before="240" w:lineRule="auto"/>
        <w:rPr>
          <w:rFonts w:ascii="Times New Roman" w:cs="Times New Roman" w:eastAsia="Times New Roman" w:hAnsi="Times New Roman"/>
          <w:b w:val="1"/>
          <w:bCs w:val="1"/>
          <w:sz w:val="24"/>
          <w:szCs w:val="24"/>
        </w:rPr>
      </w:pPr>
      <w:bookmarkStart w:colFirst="0" w:colLast="0" w:name="_heading=h.a4uh33vts2uw" w:id="6"/>
      <w:bookmarkEnd w:id="6"/>
      <w:r w:rsidDel="00000000" w:rsidR="00000000" w:rsidRPr="00000000">
        <w:rPr>
          <w:rtl w:val="0"/>
        </w:rPr>
      </w:r>
    </w:p>
    <w:p w:rsidR="00000000" w:rsidDel="00000000" w:rsidP="00000000" w:rsidRDefault="00000000" w:rsidRPr="00000000" w14:paraId="000000A8">
      <w:pPr>
        <w:spacing w:before="240" w:lineRule="auto"/>
        <w:rPr>
          <w:rFonts w:ascii="Times New Roman" w:cs="Times New Roman" w:eastAsia="Times New Roman" w:hAnsi="Times New Roman"/>
          <w:b w:val="1"/>
          <w:bCs w:val="1"/>
          <w:sz w:val="24"/>
          <w:szCs w:val="24"/>
        </w:rPr>
      </w:pPr>
      <w:bookmarkStart w:colFirst="0" w:colLast="0" w:name="_heading=h.h6qwpd3ldwp2" w:id="7"/>
      <w:bookmarkEnd w:id="7"/>
      <w:r w:rsidDel="00000000" w:rsidR="00000000" w:rsidRPr="00000000">
        <w:rPr>
          <w:rtl w:val="0"/>
        </w:rPr>
      </w:r>
    </w:p>
    <w:p w:rsidR="00000000" w:rsidDel="00000000" w:rsidP="00000000" w:rsidRDefault="00000000" w:rsidRPr="00000000" w14:paraId="000000A9">
      <w:pPr>
        <w:spacing w:before="240" w:lineRule="auto"/>
        <w:rPr>
          <w:rFonts w:ascii="Times New Roman" w:cs="Times New Roman" w:eastAsia="Times New Roman" w:hAnsi="Times New Roman"/>
          <w:b w:val="1"/>
          <w:bCs w:val="1"/>
          <w:sz w:val="24"/>
          <w:szCs w:val="24"/>
        </w:rPr>
      </w:pPr>
      <w:bookmarkStart w:colFirst="0" w:colLast="0" w:name="_heading=h.yqg6onyy8oyi" w:id="8"/>
      <w:bookmarkEnd w:id="8"/>
      <w:r w:rsidDel="00000000" w:rsidR="00000000" w:rsidRPr="00000000">
        <w:rPr>
          <w:rtl w:val="0"/>
        </w:rPr>
      </w:r>
    </w:p>
    <w:p w:rsidR="00000000" w:rsidDel="00000000" w:rsidP="00000000" w:rsidRDefault="00000000" w:rsidRPr="00000000" w14:paraId="000000AA">
      <w:pPr>
        <w:spacing w:before="240" w:lineRule="auto"/>
        <w:rPr>
          <w:rFonts w:ascii="Times New Roman" w:cs="Times New Roman" w:eastAsia="Times New Roman" w:hAnsi="Times New Roman"/>
          <w:b w:val="1"/>
          <w:bCs w:val="1"/>
          <w:sz w:val="24"/>
          <w:szCs w:val="24"/>
        </w:rPr>
      </w:pPr>
      <w:bookmarkStart w:colFirst="0" w:colLast="0" w:name="_heading=h.q6wrfvpc5gs1" w:id="9"/>
      <w:bookmarkEnd w:id="9"/>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4">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7">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8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90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E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E2">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0E3">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E4">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0E5">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0E6">
      <w:pPr>
        <w:spacing w:after="180" w:before="180" w:lineRule="auto"/>
        <w:ind w:right="-40" w:firstLine="851"/>
        <w:jc w:val="both"/>
        <w:rPr>
          <w:rFonts w:ascii="Times New Roman" w:cs="Times New Roman" w:eastAsia="Times New Roman" w:hAnsi="Times New Roman"/>
          <w:b w:val="1"/>
          <w:bCs w:val="1"/>
          <w:sz w:val="24"/>
          <w:szCs w:val="24"/>
        </w:rPr>
      </w:pPr>
      <w:r w:rsidDel="00000000" w:rsidR="00000000" w:rsidRPr="00000000">
        <w:rPr>
          <w:rtl w:val="0"/>
        </w:rPr>
      </w:r>
    </w:p>
    <w:sectPr>
      <w:footerReference r:id="rId12" w:type="default"/>
      <w:pgSz w:h="16834" w:w="11909" w:orient="portrait"/>
      <w:pgMar w:bottom="1231" w:top="1440" w:left="1559.055118110236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uiPriority w:val="2"/>
    <w:qFormat w:val="1"/>
    <w:tblPr>
      <w:tblCellMar>
        <w:top w:w="0.0" w:type="dxa"/>
        <w:left w:w="0.0" w:type="dxa"/>
        <w:bottom w:w="0.0" w:type="dxa"/>
        <w:right w:w="0.0" w:type="dxa"/>
      </w:tblCellMar>
    </w:tblPr>
  </w:style>
  <w:style w:type="table" w:styleId="a4" w:customStyle="1">
    <w:basedOn w:val="TableNormalf2"/>
    <w:tblPr>
      <w:tblStyleRowBandSize w:val="1"/>
      <w:tblStyleColBandSize w:val="1"/>
      <w:tblCellMar>
        <w:top w:w="100.0" w:type="dxa"/>
        <w:left w:w="100.0" w:type="dxa"/>
        <w:bottom w:w="100.0" w:type="dxa"/>
        <w:right w:w="100.0" w:type="dxa"/>
      </w:tblCellMar>
    </w:tblPr>
  </w:style>
  <w:style w:type="table" w:styleId="a5" w:customStyle="1">
    <w:basedOn w:val="TableNormalf2"/>
    <w:tblPr>
      <w:tblStyleRowBandSize w:val="1"/>
      <w:tblStyleColBandSize w:val="1"/>
      <w:tblCellMar>
        <w:top w:w="100.0" w:type="dxa"/>
        <w:left w:w="100.0" w:type="dxa"/>
        <w:bottom w:w="100.0" w:type="dxa"/>
        <w:right w:w="100.0" w:type="dxa"/>
      </w:tblCellMar>
    </w:tblPr>
  </w:style>
  <w:style w:type="table" w:styleId="a6" w:customStyle="1">
    <w:basedOn w:val="TableNormalf2"/>
    <w:tblPr>
      <w:tblStyleRowBandSize w:val="1"/>
      <w:tblStyleColBandSize w:val="1"/>
      <w:tblCellMar>
        <w:top w:w="100.0" w:type="dxa"/>
        <w:left w:w="100.0" w:type="dxa"/>
        <w:bottom w:w="100.0" w:type="dxa"/>
        <w:right w:w="100.0" w:type="dxa"/>
      </w:tblCellMar>
    </w:tblPr>
  </w:style>
  <w:style w:type="table" w:styleId="a7" w:customStyle="1">
    <w:basedOn w:val="TableNormalf2"/>
    <w:tblPr>
      <w:tblStyleRowBandSize w:val="1"/>
      <w:tblStyleColBandSize w:val="1"/>
      <w:tblCellMar>
        <w:top w:w="100.0" w:type="dxa"/>
        <w:left w:w="100.0" w:type="dxa"/>
        <w:bottom w:w="100.0" w:type="dxa"/>
        <w:right w:w="100.0" w:type="dxa"/>
      </w:tblCellMar>
    </w:tblPr>
  </w:style>
  <w:style w:type="table" w:styleId="a8" w:customStyle="1">
    <w:basedOn w:val="TableNormalf2"/>
    <w:tblPr>
      <w:tblStyleRowBandSize w:val="1"/>
      <w:tblStyleColBandSize w:val="1"/>
      <w:tblCellMar>
        <w:top w:w="100.0" w:type="dxa"/>
        <w:left w:w="100.0" w:type="dxa"/>
        <w:bottom w:w="100.0" w:type="dxa"/>
        <w:right w:w="100.0" w:type="dxa"/>
      </w:tblCellMar>
    </w:tblPr>
  </w:style>
  <w:style w:type="table" w:styleId="a9" w:customStyle="1">
    <w:basedOn w:val="TableNormalf2"/>
    <w:tblPr>
      <w:tblStyleRowBandSize w:val="1"/>
      <w:tblStyleColBandSize w:val="1"/>
      <w:tblCellMar>
        <w:top w:w="100.0" w:type="dxa"/>
        <w:left w:w="100.0" w:type="dxa"/>
        <w:bottom w:w="100.0" w:type="dxa"/>
        <w:right w:w="100.0" w:type="dxa"/>
      </w:tblCellMar>
    </w:tblPr>
  </w:style>
  <w:style w:type="character" w:styleId="aa">
    <w:name w:val="Hyperlink"/>
    <w:basedOn w:val="a0"/>
    <w:uiPriority w:val="99"/>
    <w:unhideWhenUsed w:val="1"/>
    <w:rsid w:val="000442EB"/>
    <w:rPr>
      <w:color w:val="0000ff" w:themeColor="hyperlink"/>
      <w:u w:val="single"/>
    </w:rPr>
  </w:style>
  <w:style w:type="paragraph" w:styleId="ab">
    <w:name w:val="List Paragraph"/>
    <w:uiPriority w:val="34"/>
    <w:qFormat w:val="1"/>
    <w:rsid w:val="00297DAC"/>
    <w:pPr>
      <w:ind w:left="720"/>
      <w:contextualSpacing w:val="1"/>
    </w:pPr>
  </w:style>
  <w:style w:type="paragraph" w:styleId="ac">
    <w:name w:val="Balloon Text"/>
    <w:link w:val="ad"/>
    <w:uiPriority w:val="99"/>
    <w:semiHidden w:val="1"/>
    <w:unhideWhenUsed w:val="1"/>
    <w:rsid w:val="006136B9"/>
    <w:pPr>
      <w:spacing w:line="240" w:lineRule="auto"/>
    </w:pPr>
    <w:rPr>
      <w:rFonts w:ascii="Segoe UI" w:cs="Segoe UI" w:hAnsi="Segoe UI"/>
      <w:sz w:val="18"/>
      <w:szCs w:val="18"/>
    </w:rPr>
  </w:style>
  <w:style w:type="character" w:styleId="ad" w:customStyle="1">
    <w:name w:val="Текст у виносці Знак"/>
    <w:basedOn w:val="a0"/>
    <w:link w:val="ac"/>
    <w:uiPriority w:val="99"/>
    <w:semiHidden w:val="1"/>
    <w:rsid w:val="006136B9"/>
    <w:rPr>
      <w:rFonts w:ascii="Segoe UI" w:cs="Segoe UI" w:hAnsi="Segoe UI"/>
      <w:sz w:val="18"/>
      <w:szCs w:val="18"/>
    </w:rPr>
  </w:style>
  <w:style w:type="table" w:styleId="ae" w:customStyle="1">
    <w:basedOn w:val="TableNormalf2"/>
    <w:tblPr>
      <w:tblStyleRowBandSize w:val="1"/>
      <w:tblStyleColBandSize w:val="1"/>
      <w:tblCellMar>
        <w:left w:w="115.0" w:type="dxa"/>
        <w:right w:w="115.0" w:type="dxa"/>
      </w:tblCellMar>
    </w:tblPr>
  </w:style>
  <w:style w:type="table" w:styleId="af" w:customStyle="1">
    <w:basedOn w:val="TableNormalf2"/>
    <w:tblPr>
      <w:tblStyleRowBandSize w:val="1"/>
      <w:tblStyleColBandSize w:val="1"/>
      <w:tblCellMar>
        <w:left w:w="115.0" w:type="dxa"/>
        <w:right w:w="115.0" w:type="dxa"/>
      </w:tblCellMar>
    </w:tblPr>
  </w:style>
  <w:style w:type="table" w:styleId="af0" w:customStyle="1">
    <w:basedOn w:val="TableNormalf2"/>
    <w:tblPr>
      <w:tblStyleRowBandSize w:val="1"/>
      <w:tblStyleColBandSize w:val="1"/>
      <w:tblCellMar>
        <w:left w:w="115.0" w:type="dxa"/>
        <w:right w:w="115.0" w:type="dxa"/>
      </w:tblCellMar>
    </w:tblPr>
  </w:style>
  <w:style w:type="table" w:styleId="af1" w:customStyle="1">
    <w:basedOn w:val="TableNormalf2"/>
    <w:tblPr>
      <w:tblStyleRowBandSize w:val="1"/>
      <w:tblStyleColBandSize w:val="1"/>
      <w:tblCellMar>
        <w:left w:w="115.0" w:type="dxa"/>
        <w:right w:w="115.0" w:type="dxa"/>
      </w:tblCellMar>
    </w:tblPr>
  </w:style>
  <w:style w:type="table" w:styleId="af2" w:customStyle="1">
    <w:basedOn w:val="TableNormalf2"/>
    <w:tblPr>
      <w:tblStyleRowBandSize w:val="1"/>
      <w:tblStyleColBandSize w:val="1"/>
      <w:tblCellMar>
        <w:left w:w="115.0" w:type="dxa"/>
        <w:right w:w="115.0" w:type="dxa"/>
      </w:tblCellMar>
    </w:tblPr>
  </w:style>
  <w:style w:type="table" w:styleId="af3" w:customStyle="1">
    <w:basedOn w:val="TableNormalf2"/>
    <w:tblPr>
      <w:tblStyleRowBandSize w:val="1"/>
      <w:tblStyleColBandSize w:val="1"/>
      <w:tblCellMar>
        <w:top w:w="100.0" w:type="dxa"/>
        <w:left w:w="100.0" w:type="dxa"/>
        <w:bottom w:w="100.0" w:type="dxa"/>
        <w:right w:w="100.0" w:type="dxa"/>
      </w:tblCellMar>
    </w:tblPr>
  </w:style>
  <w:style w:type="table" w:styleId="af4" w:customStyle="1">
    <w:basedOn w:val="TableNormalf2"/>
    <w:tblPr>
      <w:tblStyleRowBandSize w:val="1"/>
      <w:tblStyleColBandSize w:val="1"/>
      <w:tblCellMar>
        <w:top w:w="100.0" w:type="dxa"/>
        <w:left w:w="100.0" w:type="dxa"/>
        <w:bottom w:w="100.0" w:type="dxa"/>
        <w:right w:w="100.0" w:type="dxa"/>
      </w:tblCellMar>
    </w:tblPr>
  </w:style>
  <w:style w:type="table" w:styleId="af5" w:customStyle="1">
    <w:basedOn w:val="TableNormalf2"/>
    <w:tblPr>
      <w:tblStyleRowBandSize w:val="1"/>
      <w:tblStyleColBandSize w:val="1"/>
      <w:tblCellMar>
        <w:top w:w="100.0" w:type="dxa"/>
        <w:left w:w="100.0" w:type="dxa"/>
        <w:bottom w:w="100.0" w:type="dxa"/>
        <w:right w:w="100.0" w:type="dxa"/>
      </w:tblCellMar>
    </w:tblPr>
  </w:style>
  <w:style w:type="table" w:styleId="af6" w:customStyle="1">
    <w:basedOn w:val="TableNormalf2"/>
    <w:tblPr>
      <w:tblStyleRowBandSize w:val="1"/>
      <w:tblStyleColBandSize w:val="1"/>
      <w:tblCellMar>
        <w:top w:w="100.0" w:type="dxa"/>
        <w:left w:w="100.0" w:type="dxa"/>
        <w:bottom w:w="100.0" w:type="dxa"/>
        <w:right w:w="100.0" w:type="dxa"/>
      </w:tblCellMar>
    </w:tblPr>
  </w:style>
  <w:style w:type="table" w:styleId="af7" w:customStyle="1">
    <w:basedOn w:val="TableNormalf2"/>
    <w:tblPr>
      <w:tblStyleRowBandSize w:val="1"/>
      <w:tblStyleColBandSize w:val="1"/>
      <w:tblCellMar>
        <w:top w:w="100.0" w:type="dxa"/>
        <w:left w:w="100.0" w:type="dxa"/>
        <w:bottom w:w="100.0" w:type="dxa"/>
        <w:right w:w="100.0" w:type="dxa"/>
      </w:tblCellMar>
    </w:tblPr>
  </w:style>
  <w:style w:type="table" w:styleId="af8" w:customStyle="1">
    <w:basedOn w:val="TableNormalf2"/>
    <w:tblPr>
      <w:tblStyleRowBandSize w:val="1"/>
      <w:tblStyleColBandSize w:val="1"/>
      <w:tblCellMar>
        <w:top w:w="100.0" w:type="dxa"/>
        <w:left w:w="100.0" w:type="dxa"/>
        <w:bottom w:w="100.0" w:type="dxa"/>
        <w:right w:w="100.0" w:type="dxa"/>
      </w:tblCellMar>
    </w:tblPr>
  </w:style>
  <w:style w:type="table" w:styleId="af9" w:customStyle="1">
    <w:basedOn w:val="TableNormalf2"/>
    <w:tblPr>
      <w:tblStyleRowBandSize w:val="1"/>
      <w:tblStyleColBandSize w:val="1"/>
      <w:tblCellMar>
        <w:top w:w="100.0" w:type="dxa"/>
        <w:left w:w="100.0" w:type="dxa"/>
        <w:bottom w:w="100.0" w:type="dxa"/>
        <w:right w:w="100.0" w:type="dxa"/>
      </w:tblCellMar>
    </w:tblPr>
  </w:style>
  <w:style w:type="table" w:styleId="afa" w:customStyle="1">
    <w:basedOn w:val="TableNormalf2"/>
    <w:tblPr>
      <w:tblStyleRowBandSize w:val="1"/>
      <w:tblStyleColBandSize w:val="1"/>
      <w:tblCellMar>
        <w:top w:w="100.0" w:type="dxa"/>
        <w:left w:w="100.0" w:type="dxa"/>
        <w:bottom w:w="100.0" w:type="dxa"/>
        <w:right w:w="100.0" w:type="dxa"/>
      </w:tblCellMar>
    </w:tblPr>
  </w:style>
  <w:style w:type="table" w:styleId="afb" w:customStyle="1">
    <w:basedOn w:val="TableNormalf2"/>
    <w:tblPr>
      <w:tblStyleRowBandSize w:val="1"/>
      <w:tblStyleColBandSize w:val="1"/>
      <w:tblCellMar>
        <w:top w:w="100.0" w:type="dxa"/>
        <w:left w:w="100.0" w:type="dxa"/>
        <w:bottom w:w="100.0" w:type="dxa"/>
        <w:right w:w="100.0" w:type="dxa"/>
      </w:tblCellMar>
    </w:tblPr>
  </w:style>
  <w:style w:type="paragraph" w:styleId="TableParagraph" w:customStyle="1">
    <w:name w:val="Table Paragraph"/>
    <w:uiPriority w:val="1"/>
    <w:qFormat w:val="1"/>
    <w:rsid w:val="00F526B1"/>
    <w:pPr>
      <w:widowControl w:val="0"/>
      <w:autoSpaceDE w:val="0"/>
      <w:autoSpaceDN w:val="0"/>
      <w:spacing w:line="240" w:lineRule="auto"/>
    </w:pPr>
    <w:rPr>
      <w:rFonts w:ascii="Microsoft Sans Serif" w:cs="Microsoft Sans Serif" w:eastAsia="Microsoft Sans Serif" w:hAnsi="Microsoft Sans Serif"/>
      <w:lang w:eastAsia="en-US" w:val="uk-UA"/>
    </w:rPr>
  </w:style>
  <w:style w:type="table" w:styleId="afc" w:customStyle="1">
    <w:basedOn w:val="TableNormalf0"/>
    <w:tblPr>
      <w:tblStyleRowBandSize w:val="1"/>
      <w:tblStyleColBandSize w:val="1"/>
      <w:tblCellMar>
        <w:top w:w="100.0" w:type="dxa"/>
        <w:left w:w="100.0" w:type="dxa"/>
        <w:bottom w:w="100.0" w:type="dxa"/>
        <w:right w:w="100.0" w:type="dxa"/>
      </w:tblCellMar>
    </w:tblPr>
  </w:style>
  <w:style w:type="table" w:styleId="afd" w:customStyle="1">
    <w:basedOn w:val="TableNormalf0"/>
    <w:tblPr>
      <w:tblStyleRowBandSize w:val="1"/>
      <w:tblStyleColBandSize w:val="1"/>
      <w:tblCellMar>
        <w:top w:w="100.0" w:type="dxa"/>
        <w:left w:w="100.0" w:type="dxa"/>
        <w:bottom w:w="100.0" w:type="dxa"/>
        <w:right w:w="100.0" w:type="dxa"/>
      </w:tblCellMar>
    </w:tblPr>
  </w:style>
  <w:style w:type="table" w:styleId="afe" w:customStyle="1">
    <w:basedOn w:val="TableNormalf0"/>
    <w:tblPr>
      <w:tblStyleRowBandSize w:val="1"/>
      <w:tblStyleColBandSize w:val="1"/>
      <w:tblCellMar>
        <w:top w:w="100.0" w:type="dxa"/>
        <w:left w:w="100.0" w:type="dxa"/>
        <w:bottom w:w="100.0" w:type="dxa"/>
        <w:right w:w="100.0" w:type="dxa"/>
      </w:tblCellMar>
    </w:tblPr>
  </w:style>
  <w:style w:type="table" w:styleId="aff" w:customStyle="1">
    <w:basedOn w:val="TableNormalf"/>
    <w:tblPr>
      <w:tblStyleRowBandSize w:val="1"/>
      <w:tblStyleColBandSize w:val="1"/>
      <w:tblCellMar>
        <w:top w:w="100.0" w:type="dxa"/>
        <w:left w:w="100.0" w:type="dxa"/>
        <w:bottom w:w="100.0" w:type="dxa"/>
        <w:right w:w="100.0" w:type="dxa"/>
      </w:tblCellMar>
    </w:tblPr>
  </w:style>
  <w:style w:type="table" w:styleId="aff0" w:customStyle="1">
    <w:basedOn w:val="TableNormalf"/>
    <w:tblPr>
      <w:tblStyleRowBandSize w:val="1"/>
      <w:tblStyleColBandSize w:val="1"/>
      <w:tblCellMar>
        <w:top w:w="100.0" w:type="dxa"/>
        <w:left w:w="100.0" w:type="dxa"/>
        <w:bottom w:w="100.0" w:type="dxa"/>
        <w:right w:w="100.0" w:type="dxa"/>
      </w:tblCellMar>
    </w:tblPr>
  </w:style>
  <w:style w:type="table" w:styleId="aff1" w:customStyle="1">
    <w:basedOn w:val="TableNormalf"/>
    <w:tblPr>
      <w:tblStyleRowBandSize w:val="1"/>
      <w:tblStyleColBandSize w:val="1"/>
      <w:tblCellMar>
        <w:top w:w="100.0" w:type="dxa"/>
        <w:left w:w="100.0" w:type="dxa"/>
        <w:bottom w:w="100.0" w:type="dxa"/>
        <w:right w:w="100.0" w:type="dxa"/>
      </w:tblCellMar>
    </w:tblPr>
  </w:style>
  <w:style w:type="table" w:styleId="aff2" w:customStyle="1">
    <w:basedOn w:val="TableNormale"/>
    <w:tblPr>
      <w:tblStyleRowBandSize w:val="1"/>
      <w:tblStyleColBandSize w:val="1"/>
      <w:tblCellMar>
        <w:top w:w="100.0" w:type="dxa"/>
        <w:left w:w="100.0" w:type="dxa"/>
        <w:bottom w:w="100.0" w:type="dxa"/>
        <w:right w:w="100.0" w:type="dxa"/>
      </w:tblCellMar>
    </w:tblPr>
  </w:style>
  <w:style w:type="table" w:styleId="aff3" w:customStyle="1">
    <w:basedOn w:val="TableNormale"/>
    <w:tblPr>
      <w:tblStyleRowBandSize w:val="1"/>
      <w:tblStyleColBandSize w:val="1"/>
      <w:tblCellMar>
        <w:top w:w="100.0" w:type="dxa"/>
        <w:left w:w="100.0" w:type="dxa"/>
        <w:bottom w:w="100.0" w:type="dxa"/>
        <w:right w:w="100.0" w:type="dxa"/>
      </w:tblCellMar>
    </w:tblPr>
  </w:style>
  <w:style w:type="table" w:styleId="aff4" w:customStyle="1">
    <w:basedOn w:val="TableNormale"/>
    <w:tblPr>
      <w:tblStyleRowBandSize w:val="1"/>
      <w:tblStyleColBandSize w:val="1"/>
      <w:tblCellMar>
        <w:top w:w="100.0" w:type="dxa"/>
        <w:left w:w="100.0" w:type="dxa"/>
        <w:bottom w:w="100.0" w:type="dxa"/>
        <w:right w:w="100.0" w:type="dxa"/>
      </w:tblCellMar>
    </w:tblPr>
  </w:style>
  <w:style w:type="table" w:styleId="aff5" w:customStyle="1">
    <w:basedOn w:val="TableNormale"/>
    <w:tblPr>
      <w:tblStyleRowBandSize w:val="1"/>
      <w:tblStyleColBandSize w:val="1"/>
      <w:tblCellMar>
        <w:left w:w="115.0" w:type="dxa"/>
        <w:right w:w="115.0" w:type="dxa"/>
      </w:tblCellMar>
    </w:tblPr>
  </w:style>
  <w:style w:type="table" w:styleId="aff6" w:customStyle="1">
    <w:basedOn w:val="TableNormale"/>
    <w:tblPr>
      <w:tblStyleRowBandSize w:val="1"/>
      <w:tblStyleColBandSize w:val="1"/>
      <w:tblCellMar>
        <w:top w:w="100.0" w:type="dxa"/>
        <w:left w:w="100.0" w:type="dxa"/>
        <w:bottom w:w="100.0" w:type="dxa"/>
        <w:right w:w="100.0" w:type="dxa"/>
      </w:tblCellMar>
    </w:tblPr>
  </w:style>
  <w:style w:type="table" w:styleId="aff7" w:customStyle="1">
    <w:basedOn w:val="TableNormald"/>
    <w:tblPr>
      <w:tblStyleRowBandSize w:val="1"/>
      <w:tblStyleColBandSize w:val="1"/>
      <w:tblCellMar>
        <w:top w:w="100.0" w:type="dxa"/>
        <w:left w:w="100.0" w:type="dxa"/>
        <w:bottom w:w="100.0" w:type="dxa"/>
        <w:right w:w="100.0" w:type="dxa"/>
      </w:tblCellMar>
    </w:tblPr>
  </w:style>
  <w:style w:type="table" w:styleId="aff8" w:customStyle="1">
    <w:basedOn w:val="TableNormald"/>
    <w:tblPr>
      <w:tblStyleRowBandSize w:val="1"/>
      <w:tblStyleColBandSize w:val="1"/>
      <w:tblCellMar>
        <w:top w:w="100.0" w:type="dxa"/>
        <w:left w:w="100.0" w:type="dxa"/>
        <w:bottom w:w="100.0" w:type="dxa"/>
        <w:right w:w="100.0" w:type="dxa"/>
      </w:tblCellMar>
    </w:tblPr>
  </w:style>
  <w:style w:type="table" w:styleId="aff9" w:customStyle="1">
    <w:basedOn w:val="TableNormald"/>
    <w:tblPr>
      <w:tblStyleRowBandSize w:val="1"/>
      <w:tblStyleColBandSize w:val="1"/>
      <w:tblCellMar>
        <w:top w:w="100.0" w:type="dxa"/>
        <w:left w:w="100.0" w:type="dxa"/>
        <w:bottom w:w="100.0" w:type="dxa"/>
        <w:right w:w="100.0" w:type="dxa"/>
      </w:tblCellMar>
    </w:tblPr>
  </w:style>
  <w:style w:type="table" w:styleId="affa" w:customStyle="1">
    <w:basedOn w:val="TableNormald"/>
    <w:tblPr>
      <w:tblStyleRowBandSize w:val="1"/>
      <w:tblStyleColBandSize w:val="1"/>
      <w:tblCellMar>
        <w:top w:w="100.0" w:type="dxa"/>
        <w:left w:w="100.0" w:type="dxa"/>
        <w:bottom w:w="100.0" w:type="dxa"/>
        <w:right w:w="100.0" w:type="dxa"/>
      </w:tblCellMar>
    </w:tblPr>
  </w:style>
  <w:style w:type="table" w:styleId="affb" w:customStyle="1">
    <w:basedOn w:val="TableNormald"/>
    <w:tblPr>
      <w:tblStyleRowBandSize w:val="1"/>
      <w:tblStyleColBandSize w:val="1"/>
      <w:tblCellMar>
        <w:top w:w="100.0" w:type="dxa"/>
        <w:left w:w="100.0" w:type="dxa"/>
        <w:bottom w:w="100.0" w:type="dxa"/>
        <w:right w:w="100.0" w:type="dxa"/>
      </w:tblCellMar>
    </w:tblPr>
  </w:style>
  <w:style w:type="table" w:styleId="affc" w:customStyle="1">
    <w:basedOn w:val="TableNormalc"/>
    <w:tblPr>
      <w:tblStyleRowBandSize w:val="1"/>
      <w:tblStyleColBandSize w:val="1"/>
      <w:tblCellMar>
        <w:top w:w="100.0" w:type="dxa"/>
        <w:left w:w="100.0" w:type="dxa"/>
        <w:bottom w:w="100.0" w:type="dxa"/>
        <w:right w:w="100.0" w:type="dxa"/>
      </w:tblCellMar>
    </w:tblPr>
  </w:style>
  <w:style w:type="table" w:styleId="affd" w:customStyle="1">
    <w:basedOn w:val="TableNormalc"/>
    <w:tblPr>
      <w:tblStyleRowBandSize w:val="1"/>
      <w:tblStyleColBandSize w:val="1"/>
      <w:tblCellMar>
        <w:top w:w="100.0" w:type="dxa"/>
        <w:left w:w="100.0" w:type="dxa"/>
        <w:bottom w:w="100.0" w:type="dxa"/>
        <w:right w:w="100.0" w:type="dxa"/>
      </w:tblCellMar>
    </w:tblPr>
  </w:style>
  <w:style w:type="table" w:styleId="affe" w:customStyle="1">
    <w:basedOn w:val="TableNormalc"/>
    <w:tblPr>
      <w:tblStyleRowBandSize w:val="1"/>
      <w:tblStyleColBandSize w:val="1"/>
      <w:tblCellMar>
        <w:top w:w="100.0" w:type="dxa"/>
        <w:left w:w="100.0" w:type="dxa"/>
        <w:bottom w:w="100.0" w:type="dxa"/>
        <w:right w:w="100.0" w:type="dxa"/>
      </w:tblCellMar>
    </w:tblPr>
  </w:style>
  <w:style w:type="table" w:styleId="afff" w:customStyle="1">
    <w:basedOn w:val="TableNormalc"/>
    <w:tblPr>
      <w:tblStyleRowBandSize w:val="1"/>
      <w:tblStyleColBandSize w:val="1"/>
      <w:tblCellMar>
        <w:top w:w="100.0" w:type="dxa"/>
        <w:left w:w="100.0" w:type="dxa"/>
        <w:bottom w:w="100.0" w:type="dxa"/>
        <w:right w:w="100.0" w:type="dxa"/>
      </w:tblCellMar>
    </w:tblPr>
  </w:style>
  <w:style w:type="table" w:styleId="afff0" w:customStyle="1">
    <w:basedOn w:val="TableNormalc"/>
    <w:tblPr>
      <w:tblStyleRowBandSize w:val="1"/>
      <w:tblStyleColBandSize w:val="1"/>
      <w:tblCellMar>
        <w:top w:w="100.0" w:type="dxa"/>
        <w:left w:w="100.0" w:type="dxa"/>
        <w:bottom w:w="100.0" w:type="dxa"/>
        <w:right w:w="100.0" w:type="dxa"/>
      </w:tblCellMar>
    </w:tblPr>
  </w:style>
  <w:style w:type="table" w:styleId="afff1" w:customStyle="1">
    <w:basedOn w:val="TableNormalb"/>
    <w:tblPr>
      <w:tblStyleRowBandSize w:val="1"/>
      <w:tblStyleColBandSize w:val="1"/>
      <w:tblCellMar>
        <w:left w:w="115.0" w:type="dxa"/>
        <w:right w:w="115.0" w:type="dxa"/>
      </w:tblCellMar>
    </w:tblPr>
  </w:style>
  <w:style w:type="table" w:styleId="afff2" w:customStyle="1">
    <w:basedOn w:val="TableNormalb"/>
    <w:tblPr>
      <w:tblStyleRowBandSize w:val="1"/>
      <w:tblStyleColBandSize w:val="1"/>
      <w:tblCellMar>
        <w:left w:w="115.0" w:type="dxa"/>
        <w:right w:w="115.0" w:type="dxa"/>
      </w:tblCellMar>
    </w:tblPr>
  </w:style>
  <w:style w:type="table" w:styleId="afff3" w:customStyle="1">
    <w:basedOn w:val="TableNormalb"/>
    <w:tblPr>
      <w:tblStyleRowBandSize w:val="1"/>
      <w:tblStyleColBandSize w:val="1"/>
      <w:tblCellMar>
        <w:top w:w="100.0" w:type="dxa"/>
        <w:left w:w="100.0" w:type="dxa"/>
        <w:bottom w:w="100.0" w:type="dxa"/>
        <w:right w:w="100.0" w:type="dxa"/>
      </w:tblCellMar>
    </w:tblPr>
  </w:style>
  <w:style w:type="table" w:styleId="afff4" w:customStyle="1">
    <w:basedOn w:val="TableNormalb"/>
    <w:tblPr>
      <w:tblStyleRowBandSize w:val="1"/>
      <w:tblStyleColBandSize w:val="1"/>
      <w:tblCellMar>
        <w:top w:w="100.0" w:type="dxa"/>
        <w:left w:w="100.0" w:type="dxa"/>
        <w:bottom w:w="100.0" w:type="dxa"/>
        <w:right w:w="100.0" w:type="dxa"/>
      </w:tblCellMar>
    </w:tblPr>
  </w:style>
  <w:style w:type="table" w:styleId="afff5" w:customStyle="1">
    <w:basedOn w:val="TableNormalb"/>
    <w:tblPr>
      <w:tblStyleRowBandSize w:val="1"/>
      <w:tblStyleColBandSize w:val="1"/>
      <w:tblCellMar>
        <w:top w:w="100.0" w:type="dxa"/>
        <w:left w:w="100.0" w:type="dxa"/>
        <w:bottom w:w="100.0" w:type="dxa"/>
        <w:right w:w="100.0" w:type="dxa"/>
      </w:tblCellMar>
    </w:tblPr>
  </w:style>
  <w:style w:type="table" w:styleId="afff6">
    <w:name w:val="Table Grid"/>
    <w:basedOn w:val="a1"/>
    <w:uiPriority w:val="39"/>
    <w:rsid w:val="002F088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7" w:customStyle="1">
    <w:basedOn w:val="TableNormala"/>
    <w:pPr>
      <w:spacing w:line="240" w:lineRule="auto"/>
    </w:pPr>
    <w:tblPr>
      <w:tblStyleRowBandSize w:val="1"/>
      <w:tblStyleColBandSize w:val="1"/>
      <w:tblCellMar>
        <w:left w:w="108.0" w:type="dxa"/>
        <w:right w:w="108.0" w:type="dxa"/>
      </w:tblCellMar>
    </w:tblPr>
  </w:style>
  <w:style w:type="table" w:styleId="afff8" w:customStyle="1">
    <w:basedOn w:val="TableNormala"/>
    <w:pPr>
      <w:spacing w:line="240" w:lineRule="auto"/>
    </w:pPr>
    <w:tblPr>
      <w:tblStyleRowBandSize w:val="1"/>
      <w:tblStyleColBandSize w:val="1"/>
      <w:tblCellMar>
        <w:left w:w="108.0" w:type="dxa"/>
        <w:right w:w="108.0" w:type="dxa"/>
      </w:tblCellMar>
    </w:tblPr>
  </w:style>
  <w:style w:type="table" w:styleId="afff9" w:customStyle="1">
    <w:basedOn w:val="TableNormala"/>
    <w:pPr>
      <w:spacing w:line="240" w:lineRule="auto"/>
    </w:pPr>
    <w:tblPr>
      <w:tblStyleRowBandSize w:val="1"/>
      <w:tblStyleColBandSize w:val="1"/>
      <w:tblCellMar>
        <w:left w:w="108.0" w:type="dxa"/>
        <w:right w:w="108.0" w:type="dxa"/>
      </w:tblCellMar>
    </w:tblPr>
  </w:style>
  <w:style w:type="table" w:styleId="afffa" w:customStyle="1">
    <w:basedOn w:val="TableNormala"/>
    <w:tblPr>
      <w:tblStyleRowBandSize w:val="1"/>
      <w:tblStyleColBandSize w:val="1"/>
      <w:tblCellMar>
        <w:left w:w="115.0" w:type="dxa"/>
        <w:right w:w="115.0" w:type="dxa"/>
      </w:tblCellMar>
    </w:tblPr>
  </w:style>
  <w:style w:type="table" w:styleId="afffb" w:customStyle="1">
    <w:basedOn w:val="TableNormala"/>
    <w:tblPr>
      <w:tblStyleRowBandSize w:val="1"/>
      <w:tblStyleColBandSize w:val="1"/>
      <w:tblCellMar>
        <w:top w:w="100.0" w:type="dxa"/>
        <w:left w:w="100.0" w:type="dxa"/>
        <w:bottom w:w="100.0" w:type="dxa"/>
        <w:right w:w="100.0" w:type="dxa"/>
      </w:tblCellMar>
    </w:tblPr>
  </w:style>
  <w:style w:type="table" w:styleId="afffc" w:customStyle="1">
    <w:basedOn w:val="TableNormala"/>
    <w:pPr>
      <w:spacing w:line="240" w:lineRule="auto"/>
    </w:pPr>
    <w:tblPr>
      <w:tblStyleRowBandSize w:val="1"/>
      <w:tblStyleColBandSize w:val="1"/>
      <w:tblCellMar>
        <w:left w:w="108.0" w:type="dxa"/>
        <w:right w:w="108.0" w:type="dxa"/>
      </w:tblCellMar>
    </w:tblPr>
  </w:style>
  <w:style w:type="table" w:styleId="afffd" w:customStyle="1">
    <w:basedOn w:val="TableNormala"/>
    <w:pPr>
      <w:spacing w:line="240" w:lineRule="auto"/>
    </w:pPr>
    <w:tblPr>
      <w:tblStyleRowBandSize w:val="1"/>
      <w:tblStyleColBandSize w:val="1"/>
      <w:tblCellMar>
        <w:left w:w="108.0" w:type="dxa"/>
        <w:right w:w="108.0" w:type="dxa"/>
      </w:tblCellMar>
    </w:tblPr>
  </w:style>
  <w:style w:type="table" w:styleId="afffe" w:customStyle="1">
    <w:basedOn w:val="TableNormala"/>
    <w:pPr>
      <w:spacing w:line="240" w:lineRule="auto"/>
    </w:pPr>
    <w:tblPr>
      <w:tblStyleRowBandSize w:val="1"/>
      <w:tblStyleColBandSize w:val="1"/>
      <w:tblCellMar>
        <w:left w:w="108.0" w:type="dxa"/>
        <w:right w:w="108.0" w:type="dxa"/>
      </w:tblCellMar>
    </w:tblPr>
  </w:style>
  <w:style w:type="table" w:styleId="affff" w:customStyle="1">
    <w:basedOn w:val="TableNormala"/>
    <w:tblPr>
      <w:tblStyleRowBandSize w:val="1"/>
      <w:tblStyleColBandSize w:val="1"/>
      <w:tblCellMar>
        <w:left w:w="115.0" w:type="dxa"/>
        <w:right w:w="115.0" w:type="dxa"/>
      </w:tblCellMar>
    </w:tblPr>
  </w:style>
  <w:style w:type="table" w:styleId="affff0" w:customStyle="1">
    <w:basedOn w:val="TableNormala"/>
    <w:tblPr>
      <w:tblStyleRowBandSize w:val="1"/>
      <w:tblStyleColBandSize w:val="1"/>
      <w:tblCellMar>
        <w:top w:w="100.0" w:type="dxa"/>
        <w:left w:w="100.0" w:type="dxa"/>
        <w:bottom w:w="100.0" w:type="dxa"/>
        <w:right w:w="100.0" w:type="dxa"/>
      </w:tblCellMar>
    </w:tblPr>
  </w:style>
  <w:style w:type="table" w:styleId="affff1" w:customStyle="1">
    <w:basedOn w:val="TableNormala"/>
    <w:tblPr>
      <w:tblStyleRowBandSize w:val="1"/>
      <w:tblStyleColBandSize w:val="1"/>
      <w:tblCellMar>
        <w:top w:w="100.0" w:type="dxa"/>
        <w:left w:w="100.0" w:type="dxa"/>
        <w:bottom w:w="100.0" w:type="dxa"/>
        <w:right w:w="100.0" w:type="dxa"/>
      </w:tblCellMar>
    </w:tblPr>
  </w:style>
  <w:style w:type="table" w:styleId="affff2" w:customStyle="1">
    <w:basedOn w:val="TableNormala"/>
    <w:tblPr>
      <w:tblStyleRowBandSize w:val="1"/>
      <w:tblStyleColBandSize w:val="1"/>
      <w:tblCellMar>
        <w:top w:w="100.0" w:type="dxa"/>
        <w:left w:w="100.0" w:type="dxa"/>
        <w:bottom w:w="100.0" w:type="dxa"/>
        <w:right w:w="100.0" w:type="dxa"/>
      </w:tblCellMar>
    </w:tblPr>
  </w:style>
  <w:style w:type="table" w:styleId="affff3" w:customStyle="1">
    <w:basedOn w:val="TableNormal7"/>
    <w:tblPr>
      <w:tblStyleRowBandSize w:val="1"/>
      <w:tblStyleColBandSize w:val="1"/>
      <w:tblCellMar>
        <w:left w:w="115.0" w:type="dxa"/>
        <w:right w:w="115.0" w:type="dxa"/>
      </w:tblCellMar>
    </w:tblPr>
  </w:style>
  <w:style w:type="table" w:styleId="affff4" w:customStyle="1">
    <w:basedOn w:val="TableNormal7"/>
    <w:tblPr>
      <w:tblStyleRowBandSize w:val="1"/>
      <w:tblStyleColBandSize w:val="1"/>
      <w:tblCellMar>
        <w:top w:w="100.0" w:type="dxa"/>
        <w:left w:w="100.0" w:type="dxa"/>
        <w:bottom w:w="100.0" w:type="dxa"/>
        <w:right w:w="100.0" w:type="dxa"/>
      </w:tblCellMar>
    </w:tblPr>
  </w:style>
  <w:style w:type="table" w:styleId="affff5" w:customStyle="1">
    <w:basedOn w:val="TableNormal7"/>
    <w:tblPr>
      <w:tblStyleRowBandSize w:val="1"/>
      <w:tblStyleColBandSize w:val="1"/>
      <w:tblCellMar>
        <w:top w:w="100.0" w:type="dxa"/>
        <w:left w:w="100.0" w:type="dxa"/>
        <w:bottom w:w="100.0" w:type="dxa"/>
        <w:right w:w="100.0" w:type="dxa"/>
      </w:tblCellMar>
    </w:tblPr>
  </w:style>
  <w:style w:type="table" w:styleId="affff6" w:customStyle="1">
    <w:basedOn w:val="TableNormal7"/>
    <w:tblPr>
      <w:tblStyleRowBandSize w:val="1"/>
      <w:tblStyleColBandSize w:val="1"/>
      <w:tblCellMar>
        <w:left w:w="115.0" w:type="dxa"/>
        <w:right w:w="115.0" w:type="dxa"/>
      </w:tblCellMar>
    </w:tblPr>
  </w:style>
  <w:style w:type="table" w:styleId="affff7" w:customStyle="1">
    <w:basedOn w:val="TableNormal7"/>
    <w:tblPr>
      <w:tblStyleRowBandSize w:val="1"/>
      <w:tblStyleColBandSize w:val="1"/>
      <w:tblCellMar>
        <w:top w:w="100.0" w:type="dxa"/>
        <w:left w:w="100.0" w:type="dxa"/>
        <w:bottom w:w="100.0" w:type="dxa"/>
        <w:right w:w="100.0" w:type="dxa"/>
      </w:tblCellMar>
    </w:tblPr>
  </w:style>
  <w:style w:type="table" w:styleId="affff8" w:customStyle="1">
    <w:basedOn w:val="TableNormal7"/>
    <w:tblPr>
      <w:tblStyleRowBandSize w:val="1"/>
      <w:tblStyleColBandSize w:val="1"/>
      <w:tblCellMar>
        <w:top w:w="100.0" w:type="dxa"/>
        <w:left w:w="100.0" w:type="dxa"/>
        <w:bottom w:w="100.0" w:type="dxa"/>
        <w:right w:w="100.0" w:type="dxa"/>
      </w:tblCellMar>
    </w:tblPr>
  </w:style>
  <w:style w:type="character" w:styleId="affff9">
    <w:name w:val="FollowedHyperlink"/>
    <w:basedOn w:val="a0"/>
    <w:uiPriority w:val="99"/>
    <w:semiHidden w:val="1"/>
    <w:unhideWhenUsed w:val="1"/>
    <w:rsid w:val="00B95862"/>
    <w:rPr>
      <w:color w:val="0563c1"/>
      <w:u w:val="single"/>
    </w:rPr>
  </w:style>
  <w:style w:type="paragraph" w:styleId="msonormal0" w:customStyle="1">
    <w:name w:val="msonormal"/>
    <w:rsid w:val="00B95862"/>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xl65" w:customStyle="1">
    <w:name w:val="xl65"/>
    <w:rsid w:val="00B95862"/>
    <w:pPr>
      <w:pBdr>
        <w:top w:color="auto" w:space="0" w:sz="4" w:val="single"/>
        <w:left w:color="auto" w:space="0" w:sz="4"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6" w:customStyle="1">
    <w:name w:val="xl66"/>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67" w:customStyle="1">
    <w:name w:val="xl67"/>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8" w:customStyle="1">
    <w:name w:val="xl68"/>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69" w:customStyle="1">
    <w:name w:val="xl69"/>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0" w:customStyle="1">
    <w:name w:val="xl70"/>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1" w:customStyle="1">
    <w:name w:val="xl71"/>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72" w:customStyle="1">
    <w:name w:val="xl72"/>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73" w:customStyle="1">
    <w:name w:val="xl73"/>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Times New Roman" w:cs="Times New Roman" w:eastAsia="Times New Roman" w:hAnsi="Times New Roman"/>
      <w:sz w:val="20"/>
      <w:szCs w:val="20"/>
      <w:lang w:val="uk-UA"/>
    </w:rPr>
  </w:style>
  <w:style w:type="paragraph" w:styleId="xl74" w:customStyle="1">
    <w:name w:val="xl74"/>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top"/>
    </w:pPr>
    <w:rPr>
      <w:rFonts w:ascii="Times New Roman" w:cs="Times New Roman" w:eastAsia="Times New Roman" w:hAnsi="Times New Roman"/>
      <w:sz w:val="20"/>
      <w:szCs w:val="20"/>
      <w:lang w:val="uk-UA"/>
    </w:rPr>
  </w:style>
  <w:style w:type="paragraph" w:styleId="xl75" w:customStyle="1">
    <w:name w:val="xl75"/>
    <w:rsid w:val="00B95862"/>
    <w:pPr>
      <w:pBdr>
        <w:top w:color="auto" w:space="0" w:sz="8"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6" w:customStyle="1">
    <w:name w:val="xl76"/>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7" w:customStyle="1">
    <w:name w:val="xl77"/>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8" w:customStyle="1">
    <w:name w:val="xl78"/>
    <w:rsid w:val="00B95862"/>
    <w:pPr>
      <w:pBdr>
        <w:top w:color="auto" w:space="0" w:sz="8" w:val="single"/>
        <w:left w:color="auto" w:space="0" w:sz="4" w:val="single"/>
        <w:bottom w:color="auto" w:space="0" w:sz="4" w:val="single"/>
        <w:right w:color="auto" w:space="0" w:sz="8"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9" w:customStyle="1">
    <w:name w:val="xl79"/>
    <w:rsid w:val="00B95862"/>
    <w:pPr>
      <w:pBdr>
        <w:top w:color="auto" w:space="0" w:sz="4" w:val="single"/>
        <w:left w:color="auto" w:space="0" w:sz="8"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80" w:customStyle="1">
    <w:name w:val="xl80"/>
    <w:rsid w:val="00B95862"/>
    <w:pPr>
      <w:pBdr>
        <w:top w:color="auto" w:space="0" w:sz="4" w:val="single"/>
        <w:left w:color="auto" w:space="0" w:sz="4" w:val="single"/>
        <w:bottom w:color="auto" w:space="0" w:sz="4"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1" w:customStyle="1">
    <w:name w:val="xl81"/>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paragraph" w:styleId="xl82" w:customStyle="1">
    <w:name w:val="xl82"/>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3" w:customStyle="1">
    <w:name w:val="xl83"/>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84" w:customStyle="1">
    <w:name w:val="xl84"/>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5" w:customStyle="1">
    <w:name w:val="xl85"/>
    <w:rsid w:val="00B95862"/>
    <w:pPr>
      <w:pBdr>
        <w:top w:color="auto" w:space="0" w:sz="4" w:val="single"/>
        <w:left w:color="auto" w:space="0" w:sz="8" w:val="single"/>
        <w:bottom w:color="auto" w:space="0" w:sz="8"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6" w:customStyle="1">
    <w:name w:val="xl86"/>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7" w:customStyle="1">
    <w:name w:val="xl87"/>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88" w:customStyle="1">
    <w:name w:val="xl88"/>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9" w:customStyle="1">
    <w:name w:val="xl89"/>
    <w:rsid w:val="00B95862"/>
    <w:pPr>
      <w:pBdr>
        <w:top w:color="auto" w:space="0" w:sz="4" w:val="single"/>
        <w:left w:color="auto" w:space="0" w:sz="4" w:val="single"/>
        <w:bottom w:color="auto" w:space="0" w:sz="8"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0" w:customStyle="1">
    <w:name w:val="xl90"/>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1" w:customStyle="1">
    <w:name w:val="xl91"/>
    <w:rsid w:val="00B95862"/>
    <w:pPr>
      <w:pBdr>
        <w:top w:color="auto" w:space="0" w:sz="4" w:val="single"/>
        <w:left w:color="auto" w:space="0" w:sz="4"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2" w:customStyle="1">
    <w:name w:val="xl92"/>
    <w:rsid w:val="00B9586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3" w:customStyle="1">
    <w:name w:val="xl93"/>
    <w:rsid w:val="00B95862"/>
    <w:pPr>
      <w:pBdr>
        <w:top w:color="auto" w:space="0" w:sz="4" w:val="single"/>
        <w:left w:color="auto" w:space="0" w:sz="4" w:val="single"/>
        <w:bottom w:color="auto" w:space="0" w:sz="4" w:val="single"/>
        <w:right w:color="auto" w:space="0" w:sz="8"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4" w:customStyle="1">
    <w:name w:val="xl94"/>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5" w:customStyle="1">
    <w:name w:val="xl95"/>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6" w:customStyle="1">
    <w:name w:val="xl96"/>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97" w:customStyle="1">
    <w:name w:val="xl97"/>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table" w:styleId="affffa" w:customStyle="1">
    <w:basedOn w:val="TableNormal5"/>
    <w:tblPr>
      <w:tblStyleRowBandSize w:val="1"/>
      <w:tblStyleColBandSize w:val="1"/>
      <w:tblCellMar>
        <w:left w:w="115.0" w:type="dxa"/>
        <w:right w:w="115.0" w:type="dxa"/>
      </w:tblCellMar>
    </w:tblPr>
  </w:style>
  <w:style w:type="table" w:styleId="affffb" w:customStyle="1">
    <w:basedOn w:val="TableNormal5"/>
    <w:tblPr>
      <w:tblStyleRowBandSize w:val="1"/>
      <w:tblStyleColBandSize w:val="1"/>
      <w:tblCellMar>
        <w:top w:w="100.0" w:type="dxa"/>
        <w:left w:w="100.0" w:type="dxa"/>
        <w:bottom w:w="100.0" w:type="dxa"/>
        <w:right w:w="100.0" w:type="dxa"/>
      </w:tblCellMar>
    </w:tblPr>
  </w:style>
  <w:style w:type="table" w:styleId="affffc" w:customStyle="1">
    <w:basedOn w:val="TableNormal5"/>
    <w:tblPr>
      <w:tblStyleRowBandSize w:val="1"/>
      <w:tblStyleColBandSize w:val="1"/>
      <w:tblCellMar>
        <w:top w:w="100.0" w:type="dxa"/>
        <w:left w:w="100.0" w:type="dxa"/>
        <w:bottom w:w="100.0" w:type="dxa"/>
        <w:right w:w="100.0" w:type="dxa"/>
      </w:tblCellMar>
    </w:tblPr>
  </w:style>
  <w:style w:type="table" w:styleId="affffd" w:customStyle="1">
    <w:basedOn w:val="TableNormal5"/>
    <w:tblPr>
      <w:tblStyleRowBandSize w:val="1"/>
      <w:tblStyleColBandSize w:val="1"/>
      <w:tblCellMar>
        <w:left w:w="115.0" w:type="dxa"/>
        <w:right w:w="115.0" w:type="dxa"/>
      </w:tblCellMar>
    </w:tblPr>
  </w:style>
  <w:style w:type="table" w:styleId="affffe" w:customStyle="1">
    <w:basedOn w:val="TableNormal5"/>
    <w:tblPr>
      <w:tblStyleRowBandSize w:val="1"/>
      <w:tblStyleColBandSize w:val="1"/>
      <w:tblCellMar>
        <w:top w:w="100.0" w:type="dxa"/>
        <w:left w:w="100.0" w:type="dxa"/>
        <w:bottom w:w="100.0" w:type="dxa"/>
        <w:right w:w="100.0" w:type="dxa"/>
      </w:tblCellMar>
    </w:tblPr>
  </w:style>
  <w:style w:type="table" w:styleId="afffff" w:customStyle="1">
    <w:basedOn w:val="TableNormal5"/>
    <w:tblPr>
      <w:tblStyleRowBandSize w:val="1"/>
      <w:tblStyleColBandSize w:val="1"/>
      <w:tblCellMar>
        <w:top w:w="100.0" w:type="dxa"/>
        <w:left w:w="100.0" w:type="dxa"/>
        <w:bottom w:w="100.0" w:type="dxa"/>
        <w:right w:w="100.0" w:type="dxa"/>
      </w:tblCellMar>
    </w:tblPr>
  </w:style>
  <w:style w:type="table" w:styleId="afffff0" w:customStyle="1">
    <w:basedOn w:val="TableNormal5"/>
    <w:tblPr>
      <w:tblStyleRowBandSize w:val="1"/>
      <w:tblStyleColBandSize w:val="1"/>
      <w:tblCellMar>
        <w:top w:w="100.0" w:type="dxa"/>
        <w:left w:w="100.0" w:type="dxa"/>
        <w:bottom w:w="100.0" w:type="dxa"/>
        <w:right w:w="100.0" w:type="dxa"/>
      </w:tblCellMar>
    </w:tblPr>
  </w:style>
  <w:style w:type="table" w:styleId="afffff1" w:customStyle="1">
    <w:basedOn w:val="TableNormal5"/>
    <w:tblPr>
      <w:tblStyleRowBandSize w:val="1"/>
      <w:tblStyleColBandSize w:val="1"/>
      <w:tblCellMar>
        <w:top w:w="100.0" w:type="dxa"/>
        <w:left w:w="100.0" w:type="dxa"/>
        <w:bottom w:w="100.0" w:type="dxa"/>
        <w:right w:w="100.0" w:type="dxa"/>
      </w:tblCellMar>
    </w:tblPr>
  </w:style>
  <w:style w:type="table" w:styleId="afffff2" w:customStyle="1">
    <w:basedOn w:val="TableNormal5"/>
    <w:tblPr>
      <w:tblStyleRowBandSize w:val="1"/>
      <w:tblStyleColBandSize w:val="1"/>
      <w:tblCellMar>
        <w:top w:w="100.0" w:type="dxa"/>
        <w:left w:w="100.0" w:type="dxa"/>
        <w:bottom w:w="100.0" w:type="dxa"/>
        <w:right w:w="100.0" w:type="dxa"/>
      </w:tblCellMar>
    </w:tblPr>
  </w:style>
  <w:style w:type="table" w:styleId="afffff3" w:customStyle="1">
    <w:basedOn w:val="TableNormal2"/>
    <w:tblPr>
      <w:tblStyleRowBandSize w:val="1"/>
      <w:tblStyleColBandSize w:val="1"/>
      <w:tblCellMar>
        <w:left w:w="115.0" w:type="dxa"/>
        <w:right w:w="115.0" w:type="dxa"/>
      </w:tblCellMar>
    </w:tblPr>
  </w:style>
  <w:style w:type="table" w:styleId="afffff4" w:customStyle="1">
    <w:basedOn w:val="TableNormal2"/>
    <w:tblPr>
      <w:tblStyleRowBandSize w:val="1"/>
      <w:tblStyleColBandSize w:val="1"/>
      <w:tblCellMar>
        <w:top w:w="100.0" w:type="dxa"/>
        <w:left w:w="100.0" w:type="dxa"/>
        <w:bottom w:w="100.0" w:type="dxa"/>
        <w:right w:w="100.0" w:type="dxa"/>
      </w:tblCellMar>
    </w:tblPr>
  </w:style>
  <w:style w:type="table" w:styleId="afffff5" w:customStyle="1">
    <w:basedOn w:val="TableNormal2"/>
    <w:tblPr>
      <w:tblStyleRowBandSize w:val="1"/>
      <w:tblStyleColBandSize w:val="1"/>
      <w:tblCellMar>
        <w:top w:w="100.0" w:type="dxa"/>
        <w:left w:w="100.0" w:type="dxa"/>
        <w:bottom w:w="100.0" w:type="dxa"/>
        <w:right w:w="100.0" w:type="dxa"/>
      </w:tblCellMar>
    </w:tblPr>
  </w:style>
  <w:style w:type="table" w:styleId="afffff6" w:customStyle="1">
    <w:basedOn w:val="TableNormal1"/>
    <w:tblPr>
      <w:tblStyleRowBandSize w:val="1"/>
      <w:tblStyleColBandSize w:val="1"/>
      <w:tblCellMar>
        <w:left w:w="115.0" w:type="dxa"/>
        <w:right w:w="115.0" w:type="dxa"/>
      </w:tblCellMar>
    </w:tblPr>
  </w:style>
  <w:style w:type="table" w:styleId="afffff7" w:customStyle="1">
    <w:basedOn w:val="TableNormal1"/>
    <w:tblPr>
      <w:tblStyleRowBandSize w:val="1"/>
      <w:tblStyleColBandSize w:val="1"/>
      <w:tblCellMar>
        <w:top w:w="100.0" w:type="dxa"/>
        <w:left w:w="100.0" w:type="dxa"/>
        <w:bottom w:w="100.0" w:type="dxa"/>
        <w:right w:w="100.0" w:type="dxa"/>
      </w:tblCellMar>
    </w:tblPr>
  </w:style>
  <w:style w:type="table" w:styleId="afffff8" w:customStyle="1">
    <w:basedOn w:val="TableNormal1"/>
    <w:tblPr>
      <w:tblStyleRowBandSize w:val="1"/>
      <w:tblStyleColBandSize w:val="1"/>
      <w:tblCellMar>
        <w:top w:w="100.0" w:type="dxa"/>
        <w:left w:w="100.0" w:type="dxa"/>
        <w:bottom w:w="100.0" w:type="dxa"/>
        <w:right w:w="100.0" w:type="dxa"/>
      </w:tblCellMar>
    </w:tblPr>
  </w:style>
  <w:style w:type="table" w:styleId="afffffa" w:customStyle="1">
    <w:basedOn w:val="TableNormal0"/>
    <w:tblPr>
      <w:tblStyleRowBandSize w:val="1"/>
      <w:tblStyleColBandSize w:val="1"/>
      <w:tblCellMar>
        <w:left w:w="115.0" w:type="dxa"/>
        <w:right w:w="115.0" w:type="dxa"/>
      </w:tblCellMar>
    </w:tblPr>
  </w:style>
  <w:style w:type="table" w:styleId="afffffb" w:customStyle="1">
    <w:basedOn w:val="TableNormal0"/>
    <w:tblPr>
      <w:tblStyleRowBandSize w:val="1"/>
      <w:tblStyleColBandSize w:val="1"/>
      <w:tblCellMar>
        <w:top w:w="100.0" w:type="dxa"/>
        <w:left w:w="100.0" w:type="dxa"/>
        <w:bottom w:w="100.0" w:type="dxa"/>
        <w:right w:w="100.0" w:type="dxa"/>
      </w:tblCellMar>
    </w:tblPr>
  </w:style>
  <w:style w:type="table" w:styleId="afffffc" w:customStyle="1">
    <w:basedOn w:val="TableNormal0"/>
    <w:tblPr>
      <w:tblStyleRowBandSize w:val="1"/>
      <w:tblStyleColBandSize w:val="1"/>
      <w:tblCellMar>
        <w:top w:w="100.0" w:type="dxa"/>
        <w:left w:w="100.0" w:type="dxa"/>
        <w:bottom w:w="100.0" w:type="dxa"/>
        <w:right w:w="100.0" w:type="dxa"/>
      </w:tblCellMar>
    </w:tblPr>
  </w:style>
  <w:style w:type="paragraph" w:styleId="afffffd">
    <w:name w:val="Normal (Web)"/>
    <w:basedOn w:val="a"/>
    <w:uiPriority w:val="99"/>
    <w:semiHidden w:val="1"/>
    <w:unhideWhenUsed w:val="1"/>
    <w:rsid w:val="004F483B"/>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afffffe">
    <w:name w:val="annotation reference"/>
    <w:basedOn w:val="a0"/>
    <w:uiPriority w:val="99"/>
    <w:semiHidden w:val="1"/>
    <w:unhideWhenUsed w:val="1"/>
    <w:rsid w:val="008903DA"/>
    <w:rPr>
      <w:sz w:val="16"/>
      <w:szCs w:val="16"/>
    </w:rPr>
  </w:style>
  <w:style w:type="paragraph" w:styleId="affffff">
    <w:name w:val="annotation text"/>
    <w:basedOn w:val="a"/>
    <w:link w:val="affffff0"/>
    <w:uiPriority w:val="99"/>
    <w:semiHidden w:val="1"/>
    <w:unhideWhenUsed w:val="1"/>
    <w:rsid w:val="008903DA"/>
    <w:pPr>
      <w:spacing w:line="240" w:lineRule="auto"/>
    </w:pPr>
    <w:rPr>
      <w:sz w:val="20"/>
      <w:szCs w:val="20"/>
    </w:rPr>
  </w:style>
  <w:style w:type="character" w:styleId="affffff0" w:customStyle="1">
    <w:name w:val="Текст примітки Знак"/>
    <w:basedOn w:val="a0"/>
    <w:link w:val="affffff"/>
    <w:uiPriority w:val="99"/>
    <w:semiHidden w:val="1"/>
    <w:rsid w:val="008903DA"/>
    <w:rPr>
      <w:sz w:val="20"/>
      <w:szCs w:val="20"/>
    </w:rPr>
  </w:style>
  <w:style w:type="paragraph" w:styleId="affffff1">
    <w:name w:val="annotation subject"/>
    <w:basedOn w:val="affffff"/>
    <w:next w:val="affffff"/>
    <w:link w:val="affffff2"/>
    <w:uiPriority w:val="99"/>
    <w:semiHidden w:val="1"/>
    <w:unhideWhenUsed w:val="1"/>
    <w:rsid w:val="008903DA"/>
    <w:rPr>
      <w:b w:val="1"/>
      <w:bCs w:val="1"/>
    </w:rPr>
  </w:style>
  <w:style w:type="character" w:styleId="affffff2" w:customStyle="1">
    <w:name w:val="Тема примітки Знак"/>
    <w:basedOn w:val="affffff0"/>
    <w:link w:val="affffff1"/>
    <w:uiPriority w:val="99"/>
    <w:semiHidden w:val="1"/>
    <w:rsid w:val="008903DA"/>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12" Type="http://schemas.openxmlformats.org/officeDocument/2006/relationships/footer" Target="footer1.xm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i/q4qjfzbmif872xrkxilpk/19.12.23.pdf?rlkey=uc744myyxydtqqjoyf5mj55xj&amp;e=2&amp;dl=0"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3X7mvxBbFSGvNSv/DEr6f1xx4g==">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2024-02-23T09:45:00Z</dcterms:created>
</cp:coreProperties>
</file>